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D2125" w14:textId="2DFAAED2" w:rsidR="00215ECB" w:rsidRPr="00BC022F" w:rsidRDefault="00215ECB" w:rsidP="00BC022F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noProof/>
          <w:color w:val="000000" w:themeColor="text1"/>
          <w:sz w:val="24"/>
          <w:szCs w:val="24"/>
          <w:lang w:val="sv-SE" w:eastAsia="ko-KR"/>
        </w:rPr>
      </w:pPr>
      <w:bookmarkStart w:id="0" w:name="_Hlk528502858"/>
      <w:r w:rsidRPr="00BC022F">
        <w:rPr>
          <w:b/>
          <w:noProof/>
          <w:color w:val="000000" w:themeColor="text1"/>
          <w:sz w:val="24"/>
          <w:szCs w:val="24"/>
          <w:lang w:val="sv-SE"/>
        </w:rPr>
        <w:t>3GPP TSG RAN conference call on IMT-2030 TPRs</w:t>
      </w:r>
      <w:r w:rsidRPr="00BC022F">
        <w:rPr>
          <w:b/>
          <w:noProof/>
          <w:color w:val="000000" w:themeColor="text1"/>
          <w:sz w:val="24"/>
          <w:szCs w:val="24"/>
          <w:lang w:val="sv-SE"/>
        </w:rPr>
        <w:tab/>
      </w:r>
      <w:r w:rsidRPr="00BC022F">
        <w:rPr>
          <w:b/>
          <w:noProof/>
          <w:color w:val="000000" w:themeColor="text1"/>
          <w:sz w:val="24"/>
          <w:szCs w:val="24"/>
          <w:lang w:val="sv-SE"/>
        </w:rPr>
        <w:tab/>
      </w:r>
      <w:r w:rsidR="00A84EA0">
        <w:rPr>
          <w:rFonts w:eastAsiaTheme="minorEastAsia"/>
          <w:b/>
          <w:noProof/>
          <w:color w:val="000000" w:themeColor="text1"/>
          <w:sz w:val="24"/>
          <w:szCs w:val="24"/>
          <w:lang w:val="sv-SE" w:eastAsia="ko-KR"/>
        </w:rPr>
        <w:tab/>
      </w:r>
      <w:r w:rsidR="00A84EA0">
        <w:rPr>
          <w:rFonts w:eastAsiaTheme="minorEastAsia"/>
          <w:b/>
          <w:noProof/>
          <w:color w:val="000000" w:themeColor="text1"/>
          <w:sz w:val="24"/>
          <w:szCs w:val="24"/>
          <w:lang w:val="sv-SE" w:eastAsia="ko-KR"/>
        </w:rPr>
        <w:tab/>
      </w:r>
      <w:r w:rsidR="00BC022F">
        <w:rPr>
          <w:rFonts w:eastAsiaTheme="minorEastAsia" w:hint="eastAsia"/>
          <w:b/>
          <w:noProof/>
          <w:color w:val="000000" w:themeColor="text1"/>
          <w:sz w:val="24"/>
          <w:szCs w:val="24"/>
          <w:lang w:val="sv-SE" w:eastAsia="ko-KR"/>
        </w:rPr>
        <w:t>RT-</w:t>
      </w:r>
      <w:r w:rsidR="008E6108">
        <w:rPr>
          <w:rFonts w:eastAsiaTheme="minorEastAsia" w:hint="eastAsia"/>
          <w:b/>
          <w:noProof/>
          <w:color w:val="000000" w:themeColor="text1"/>
          <w:sz w:val="24"/>
          <w:szCs w:val="24"/>
          <w:lang w:val="sv-SE" w:eastAsia="ko-KR"/>
        </w:rPr>
        <w:t>25</w:t>
      </w:r>
      <w:r w:rsidR="00BC022F">
        <w:rPr>
          <w:rFonts w:eastAsiaTheme="minorEastAsia" w:hint="eastAsia"/>
          <w:b/>
          <w:noProof/>
          <w:color w:val="000000" w:themeColor="text1"/>
          <w:sz w:val="24"/>
          <w:szCs w:val="24"/>
          <w:lang w:val="sv-SE" w:eastAsia="ko-KR"/>
        </w:rPr>
        <w:t>xxxxx</w:t>
      </w:r>
    </w:p>
    <w:p w14:paraId="645D65CD" w14:textId="77777777" w:rsidR="00215ECB" w:rsidRPr="00BC022F" w:rsidRDefault="00215ECB" w:rsidP="00BC022F">
      <w:pPr>
        <w:pStyle w:val="CRCoverPage"/>
        <w:tabs>
          <w:tab w:val="right" w:pos="9639"/>
        </w:tabs>
        <w:spacing w:after="0"/>
        <w:jc w:val="both"/>
        <w:rPr>
          <w:b/>
          <w:noProof/>
          <w:color w:val="000000" w:themeColor="text1"/>
          <w:sz w:val="24"/>
          <w:szCs w:val="24"/>
          <w:lang w:val="sv-SE"/>
        </w:rPr>
      </w:pPr>
      <w:r w:rsidRPr="00BC022F">
        <w:rPr>
          <w:b/>
          <w:noProof/>
          <w:color w:val="000000" w:themeColor="text1"/>
          <w:sz w:val="24"/>
          <w:szCs w:val="24"/>
          <w:lang w:val="sv-SE"/>
        </w:rPr>
        <w:t>April 29, 2025</w:t>
      </w:r>
    </w:p>
    <w:bookmarkEnd w:id="0"/>
    <w:p w14:paraId="0F5B5045" w14:textId="77777777" w:rsidR="00215ECB" w:rsidRPr="00BC022F" w:rsidRDefault="00215ECB" w:rsidP="00BC022F">
      <w:pPr>
        <w:tabs>
          <w:tab w:val="left" w:pos="1985"/>
        </w:tabs>
        <w:wordWrap/>
        <w:autoSpaceDE/>
        <w:autoSpaceDN/>
        <w:spacing w:after="180" w:line="259" w:lineRule="auto"/>
        <w:ind w:left="2020" w:hangingChars="841" w:hanging="2020"/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</w:pP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ab/>
      </w: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ab/>
      </w:r>
    </w:p>
    <w:p w14:paraId="3D232089" w14:textId="09FDD8CD" w:rsidR="00215ECB" w:rsidRPr="00BC022F" w:rsidRDefault="00215ECB" w:rsidP="00BC022F">
      <w:pPr>
        <w:tabs>
          <w:tab w:val="left" w:pos="1985"/>
        </w:tabs>
        <w:wordWrap/>
        <w:autoSpaceDE/>
        <w:autoSpaceDN/>
        <w:spacing w:after="180" w:line="259" w:lineRule="auto"/>
        <w:ind w:left="2020" w:hangingChars="841" w:hanging="2020"/>
        <w:rPr>
          <w:rFonts w:ascii="Arial" w:eastAsia="바탕" w:hAnsi="Arial" w:cs="Times New Roman"/>
          <w:b/>
          <w:color w:val="000000" w:themeColor="text1"/>
          <w:sz w:val="24"/>
        </w:rPr>
      </w:pP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>Agenda item:</w:t>
      </w: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ab/>
      </w:r>
      <w:r w:rsidR="002F307A">
        <w:rPr>
          <w:rFonts w:ascii="Arial" w:eastAsia="바탕" w:hAnsi="Arial" w:cs="Times New Roman" w:hint="eastAsia"/>
          <w:bCs/>
          <w:color w:val="000000" w:themeColor="text1"/>
          <w:sz w:val="24"/>
        </w:rPr>
        <w:t>##</w:t>
      </w:r>
    </w:p>
    <w:p w14:paraId="07A40DD3" w14:textId="23C15E07" w:rsidR="00215ECB" w:rsidRPr="00BC022F" w:rsidRDefault="00215ECB" w:rsidP="00BC022F">
      <w:pPr>
        <w:tabs>
          <w:tab w:val="left" w:pos="1985"/>
        </w:tabs>
        <w:wordWrap/>
        <w:autoSpaceDE/>
        <w:autoSpaceDN/>
        <w:spacing w:after="180" w:line="259" w:lineRule="auto"/>
        <w:ind w:left="2020" w:hangingChars="841" w:hanging="2020"/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</w:pP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>Source:</w:t>
      </w: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ab/>
      </w:r>
      <w:r w:rsidRPr="00BC022F">
        <w:rPr>
          <w:rFonts w:ascii="Arial" w:eastAsia="바탕" w:hAnsi="Arial" w:cs="Times New Roman" w:hint="eastAsia"/>
          <w:bCs/>
          <w:color w:val="000000" w:themeColor="text1"/>
          <w:sz w:val="24"/>
          <w:lang w:eastAsia="en-US"/>
        </w:rPr>
        <w:t xml:space="preserve">LG </w:t>
      </w:r>
      <w:r w:rsidRPr="00BC022F">
        <w:rPr>
          <w:rFonts w:ascii="Arial" w:eastAsia="바탕" w:hAnsi="Arial" w:cs="Times New Roman"/>
          <w:bCs/>
          <w:color w:val="000000" w:themeColor="text1"/>
          <w:sz w:val="24"/>
          <w:lang w:eastAsia="en-US"/>
        </w:rPr>
        <w:t>Electronics</w:t>
      </w:r>
      <w:r w:rsidRPr="00BC022F">
        <w:rPr>
          <w:rFonts w:ascii="Arial" w:eastAsia="바탕" w:hAnsi="Arial" w:cs="Times New Roman" w:hint="eastAsia"/>
          <w:b/>
          <w:color w:val="000000" w:themeColor="text1"/>
          <w:sz w:val="24"/>
          <w:lang w:eastAsia="en-US"/>
        </w:rPr>
        <w:t xml:space="preserve"> </w:t>
      </w:r>
    </w:p>
    <w:p w14:paraId="3BB31A44" w14:textId="447BAA28" w:rsidR="00215ECB" w:rsidRPr="00BC022F" w:rsidRDefault="00215ECB" w:rsidP="00BC022F">
      <w:pPr>
        <w:tabs>
          <w:tab w:val="left" w:pos="1985"/>
        </w:tabs>
        <w:wordWrap/>
        <w:autoSpaceDE/>
        <w:autoSpaceDN/>
        <w:spacing w:after="180" w:line="259" w:lineRule="auto"/>
        <w:ind w:left="2020" w:hangingChars="841" w:hanging="2020"/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</w:pP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>Title:</w:t>
      </w: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ab/>
      </w:r>
      <w:r w:rsidR="006B53D0" w:rsidRPr="006B53D0">
        <w:rPr>
          <w:rFonts w:ascii="Arial" w:eastAsia="바탕" w:hAnsi="Arial" w:cs="Times New Roman" w:hint="eastAsia"/>
          <w:bCs/>
          <w:color w:val="000000" w:themeColor="text1"/>
          <w:sz w:val="24"/>
        </w:rPr>
        <w:t xml:space="preserve">LGE views on </w:t>
      </w:r>
      <w:r w:rsidRPr="006B53D0">
        <w:rPr>
          <w:rFonts w:ascii="Arial" w:eastAsia="바탕" w:hAnsi="Arial" w:cs="Times New Roman"/>
          <w:bCs/>
          <w:color w:val="000000" w:themeColor="text1"/>
          <w:sz w:val="24"/>
          <w:lang w:eastAsia="en-US"/>
        </w:rPr>
        <w:t>IMT</w:t>
      </w:r>
      <w:r w:rsidRPr="00BC022F">
        <w:rPr>
          <w:rFonts w:ascii="Arial" w:eastAsia="바탕" w:hAnsi="Arial" w:cs="Times New Roman"/>
          <w:bCs/>
          <w:color w:val="000000" w:themeColor="text1"/>
          <w:sz w:val="24"/>
          <w:lang w:eastAsia="en-US"/>
        </w:rPr>
        <w:t>-2030 TPRs</w:t>
      </w: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 xml:space="preserve"> </w:t>
      </w:r>
    </w:p>
    <w:p w14:paraId="61036889" w14:textId="77777777" w:rsidR="00215ECB" w:rsidRPr="00BC022F" w:rsidRDefault="00215ECB" w:rsidP="00BC022F">
      <w:pPr>
        <w:tabs>
          <w:tab w:val="left" w:pos="1985"/>
        </w:tabs>
        <w:wordWrap/>
        <w:autoSpaceDE/>
        <w:autoSpaceDN/>
        <w:spacing w:after="180" w:line="259" w:lineRule="auto"/>
        <w:ind w:left="2020" w:hangingChars="841" w:hanging="2020"/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</w:pP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>Document for:</w:t>
      </w:r>
      <w:r w:rsidRPr="00BC022F">
        <w:rPr>
          <w:rFonts w:ascii="Arial" w:eastAsia="바탕" w:hAnsi="Arial" w:cs="Times New Roman"/>
          <w:b/>
          <w:color w:val="000000" w:themeColor="text1"/>
          <w:sz w:val="24"/>
          <w:lang w:eastAsia="en-US"/>
        </w:rPr>
        <w:tab/>
      </w:r>
      <w:r w:rsidRPr="00BC022F">
        <w:rPr>
          <w:rFonts w:ascii="Arial" w:eastAsia="바탕" w:hAnsi="Arial" w:cs="Times New Roman"/>
          <w:bCs/>
          <w:color w:val="000000" w:themeColor="text1"/>
          <w:sz w:val="24"/>
          <w:lang w:eastAsia="en-US"/>
        </w:rPr>
        <w:t>Discussion</w:t>
      </w:r>
    </w:p>
    <w:p w14:paraId="72EFE432" w14:textId="03C7FE0D" w:rsidR="00215ECB" w:rsidRDefault="00215ECB" w:rsidP="002610FB">
      <w:pPr>
        <w:pStyle w:val="1"/>
        <w:keepLines/>
        <w:pBdr>
          <w:top w:val="single" w:sz="12" w:space="3" w:color="auto"/>
        </w:pBdr>
        <w:wordWrap/>
        <w:autoSpaceDE/>
        <w:autoSpaceDN/>
        <w:spacing w:before="240" w:after="180" w:line="259" w:lineRule="auto"/>
        <w:ind w:left="1134" w:hanging="1134"/>
        <w:rPr>
          <w:rFonts w:ascii="Arial" w:eastAsia="바탕" w:hAnsi="Arial" w:cs="Times New Roman"/>
          <w:color w:val="000000" w:themeColor="text1"/>
          <w:sz w:val="36"/>
          <w:szCs w:val="20"/>
          <w:lang w:val="en-GB" w:eastAsia="en-US"/>
        </w:rPr>
      </w:pPr>
      <w:r w:rsidRPr="002610FB">
        <w:rPr>
          <w:rFonts w:ascii="Arial" w:eastAsia="바탕" w:hAnsi="Arial" w:cs="Times New Roman" w:hint="eastAsia"/>
          <w:color w:val="000000" w:themeColor="text1"/>
          <w:sz w:val="36"/>
          <w:szCs w:val="20"/>
          <w:lang w:val="en-GB" w:eastAsia="en-US"/>
        </w:rPr>
        <w:t xml:space="preserve">RAN#107 </w:t>
      </w:r>
      <w:r w:rsidR="00CC5F67" w:rsidRPr="002610FB">
        <w:rPr>
          <w:rFonts w:ascii="Arial" w:eastAsia="바탕" w:hAnsi="Arial" w:cs="Times New Roman" w:hint="eastAsia"/>
          <w:color w:val="000000" w:themeColor="text1"/>
          <w:sz w:val="36"/>
          <w:szCs w:val="20"/>
          <w:lang w:val="en-GB" w:eastAsia="en-US"/>
        </w:rPr>
        <w:t>discussion on TPR</w:t>
      </w:r>
    </w:p>
    <w:p w14:paraId="40859B19" w14:textId="705C61FE" w:rsidR="008B71F8" w:rsidRPr="00323194" w:rsidRDefault="008B71F8" w:rsidP="00323194">
      <w:pPr>
        <w:wordWrap/>
        <w:autoSpaceDE/>
        <w:autoSpaceDN/>
        <w:spacing w:after="180" w:line="259" w:lineRule="auto"/>
        <w:rPr>
          <w:rFonts w:ascii="Times New Roman" w:eastAsia="바탕" w:hAnsi="Times New Roman" w:cs="Times New Roman"/>
          <w:color w:val="000000" w:themeColor="text1"/>
          <w:sz w:val="22"/>
        </w:rPr>
      </w:pPr>
      <w:r>
        <w:rPr>
          <w:rFonts w:ascii="Times New Roman" w:eastAsia="바탕" w:hAnsi="Times New Roman" w:cs="Times New Roman" w:hint="eastAsia"/>
          <w:color w:val="000000" w:themeColor="text1"/>
          <w:sz w:val="22"/>
        </w:rPr>
        <w:t xml:space="preserve">In RAN#107, the following consensus was reached based on the discussion [1]. </w:t>
      </w:r>
    </w:p>
    <w:p w14:paraId="6212BA4A" w14:textId="77777777" w:rsidR="00215ECB" w:rsidRPr="00105EDF" w:rsidRDefault="00215ECB" w:rsidP="00215ECB">
      <w:pPr>
        <w:rPr>
          <w:rFonts w:ascii="Times New Roman" w:hAnsi="Times New Roman" w:cs="Times New Roman"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1: </w:t>
      </w:r>
      <w:r w:rsidRPr="00105EDF">
        <w:rPr>
          <w:rFonts w:ascii="Times New Roman" w:hAnsi="Times New Roman" w:cs="Times New Roman"/>
          <w:b/>
          <w:bCs/>
        </w:rPr>
        <w:t>Define positioning accuracy</w:t>
      </w:r>
      <w:r w:rsidRPr="00105EDF">
        <w:rPr>
          <w:rFonts w:ascii="Times New Roman" w:hAnsi="Times New Roman" w:cs="Times New Roman" w:hint="eastAsia"/>
          <w:b/>
          <w:bCs/>
        </w:rPr>
        <w:t xml:space="preserve"> </w:t>
      </w:r>
      <w:r w:rsidRPr="00105EDF">
        <w:rPr>
          <w:rFonts w:ascii="Times New Roman" w:hAnsi="Times New Roman" w:cs="Times New Roman"/>
          <w:b/>
          <w:bCs/>
        </w:rPr>
        <w:t>as a quantitative TPR</w:t>
      </w:r>
    </w:p>
    <w:p w14:paraId="03819815" w14:textId="77777777" w:rsidR="00215ECB" w:rsidRPr="00105EDF" w:rsidRDefault="00215ECB" w:rsidP="00215ECB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>Proposal 2</w:t>
      </w:r>
      <w:r w:rsidRPr="00105EDF">
        <w:rPr>
          <w:rFonts w:ascii="Times New Roman" w:hAnsi="Times New Roman" w:cs="Times New Roman"/>
          <w:b/>
          <w:bCs/>
        </w:rPr>
        <w:t xml:space="preserve">: Define Sensing-related </w:t>
      </w:r>
      <w:r w:rsidRPr="00105EDF">
        <w:rPr>
          <w:rFonts w:ascii="Times New Roman" w:hAnsi="Times New Roman" w:cs="Times New Roman" w:hint="eastAsia"/>
          <w:b/>
          <w:bCs/>
        </w:rPr>
        <w:t>capabilities as a TPR.</w:t>
      </w:r>
    </w:p>
    <w:p w14:paraId="1DB40006" w14:textId="77777777" w:rsidR="00215ECB" w:rsidRPr="00105EDF" w:rsidRDefault="00215ECB" w:rsidP="00215ECB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/>
          <w:b/>
          <w:bCs/>
        </w:rPr>
        <w:t xml:space="preserve">Proposal </w:t>
      </w:r>
      <w:r w:rsidRPr="00105EDF">
        <w:rPr>
          <w:rFonts w:ascii="Times New Roman" w:hAnsi="Times New Roman" w:cs="Times New Roman" w:hint="eastAsia"/>
          <w:b/>
          <w:bCs/>
        </w:rPr>
        <w:t>3</w:t>
      </w:r>
      <w:r w:rsidRPr="00105EDF">
        <w:rPr>
          <w:rFonts w:ascii="Times New Roman" w:hAnsi="Times New Roman" w:cs="Times New Roman"/>
          <w:b/>
          <w:bCs/>
        </w:rPr>
        <w:t xml:space="preserve">: </w:t>
      </w:r>
      <w:r w:rsidRPr="00105EDF">
        <w:rPr>
          <w:rFonts w:ascii="Times New Roman" w:hAnsi="Times New Roman" w:cs="Times New Roman" w:hint="eastAsia"/>
          <w:b/>
          <w:bCs/>
        </w:rPr>
        <w:t>d</w:t>
      </w:r>
      <w:r w:rsidRPr="00105EDF">
        <w:rPr>
          <w:rFonts w:ascii="Times New Roman" w:hAnsi="Times New Roman" w:cs="Times New Roman"/>
          <w:b/>
          <w:bCs/>
        </w:rPr>
        <w:t>efine AI-related capabilities as qualitative TPR evaluated by inspection.</w:t>
      </w:r>
    </w:p>
    <w:p w14:paraId="1D71A7F8" w14:textId="77777777" w:rsidR="00215ECB" w:rsidRPr="00105EDF" w:rsidRDefault="00215ECB" w:rsidP="00215ECB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/>
          <w:b/>
          <w:bCs/>
        </w:rPr>
        <w:t xml:space="preserve">Proposal </w:t>
      </w:r>
      <w:r w:rsidRPr="00105EDF">
        <w:rPr>
          <w:rFonts w:ascii="Times New Roman" w:hAnsi="Times New Roman" w:cs="Times New Roman" w:hint="eastAsia"/>
          <w:b/>
          <w:bCs/>
        </w:rPr>
        <w:t>4</w:t>
      </w:r>
      <w:r w:rsidRPr="00105EDF">
        <w:rPr>
          <w:rFonts w:ascii="Times New Roman" w:hAnsi="Times New Roman" w:cs="Times New Roman"/>
          <w:b/>
          <w:bCs/>
        </w:rPr>
        <w:t xml:space="preserve">: </w:t>
      </w:r>
      <w:r w:rsidRPr="00105EDF">
        <w:rPr>
          <w:rFonts w:ascii="Times New Roman" w:hAnsi="Times New Roman" w:cs="Times New Roman" w:hint="eastAsia"/>
          <w:b/>
          <w:bCs/>
        </w:rPr>
        <w:t xml:space="preserve">Define energy efficiency as a TPR. </w:t>
      </w:r>
    </w:p>
    <w:p w14:paraId="2C459B01" w14:textId="77777777" w:rsidR="00215ECB" w:rsidRPr="00105EDF" w:rsidRDefault="00215ECB" w:rsidP="00215ECB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5: For user </w:t>
      </w:r>
      <w:r w:rsidRPr="00105EDF">
        <w:rPr>
          <w:rFonts w:ascii="Times New Roman" w:hAnsi="Times New Roman" w:cs="Times New Roman"/>
          <w:b/>
          <w:bCs/>
        </w:rPr>
        <w:t>experienced</w:t>
      </w:r>
      <w:r w:rsidRPr="00105EDF">
        <w:rPr>
          <w:rFonts w:ascii="Times New Roman" w:hAnsi="Times New Roman" w:cs="Times New Roman" w:hint="eastAsia"/>
          <w:b/>
          <w:bCs/>
        </w:rPr>
        <w:t xml:space="preserve"> data rate, further discuss applicable deployment scenarios, and revisit the evaluation methodology before setting values for UL</w:t>
      </w:r>
    </w:p>
    <w:p w14:paraId="05583AE7" w14:textId="77777777" w:rsidR="00215ECB" w:rsidRDefault="00215ECB" w:rsidP="00215ECB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6: </w:t>
      </w:r>
      <w:r>
        <w:rPr>
          <w:rFonts w:ascii="Times New Roman" w:hAnsi="Times New Roman" w:cs="Times New Roman" w:hint="eastAsia"/>
          <w:b/>
          <w:bCs/>
        </w:rPr>
        <w:t xml:space="preserve">For </w:t>
      </w:r>
      <w:r>
        <w:rPr>
          <w:rFonts w:ascii="Times New Roman" w:hAnsi="Times New Roman" w:cs="Times New Roman"/>
          <w:b/>
          <w:bCs/>
        </w:rPr>
        <w:t>bandwidth</w:t>
      </w:r>
      <w:r>
        <w:rPr>
          <w:rFonts w:ascii="Times New Roman" w:hAnsi="Times New Roman" w:cs="Times New Roman" w:hint="eastAsia"/>
          <w:b/>
          <w:bCs/>
        </w:rPr>
        <w:t xml:space="preserve"> TPR, it is proposed to set a target value of 400MHz</w:t>
      </w:r>
      <w:r w:rsidRPr="00105EDF">
        <w:rPr>
          <w:rFonts w:ascii="Times New Roman" w:hAnsi="Times New Roman" w:cs="Times New Roman" w:hint="eastAsia"/>
          <w:b/>
          <w:bCs/>
        </w:rPr>
        <w:t xml:space="preserve"> (same definition as IMT-2020)</w:t>
      </w:r>
    </w:p>
    <w:p w14:paraId="24D8529D" w14:textId="77777777" w:rsidR="00215ECB" w:rsidRPr="009C45B2" w:rsidRDefault="00215ECB" w:rsidP="00215ECB">
      <w:pPr>
        <w:pStyle w:val="a3"/>
        <w:widowControl w:val="0"/>
        <w:numPr>
          <w:ilvl w:val="0"/>
          <w:numId w:val="5"/>
        </w:numPr>
        <w:wordWrap/>
        <w:autoSpaceDE/>
        <w:autoSpaceDN/>
        <w:spacing w:after="160" w:line="278" w:lineRule="auto"/>
        <w:ind w:leftChars="0"/>
        <w:contextualSpacing/>
        <w:jc w:val="left"/>
        <w:rPr>
          <w:rFonts w:ascii="Times New Roman" w:hAnsi="Times New Roman" w:cs="Times New Roman"/>
          <w:b/>
          <w:bCs/>
        </w:rPr>
      </w:pPr>
      <w:r w:rsidRPr="009C45B2">
        <w:rPr>
          <w:rFonts w:ascii="Times New Roman" w:hAnsi="Times New Roman" w:cs="Times New Roman" w:hint="eastAsia"/>
          <w:b/>
          <w:bCs/>
        </w:rPr>
        <w:t>TBD on other TPR values</w:t>
      </w:r>
    </w:p>
    <w:p w14:paraId="19E60856" w14:textId="77777777" w:rsidR="00215ECB" w:rsidRPr="00105EDF" w:rsidRDefault="00215ECB" w:rsidP="00215ECB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>Proposal 7</w:t>
      </w:r>
      <w:r w:rsidRPr="00105EDF">
        <w:rPr>
          <w:rFonts w:ascii="Times New Roman" w:hAnsi="Times New Roman" w:cs="Times New Roman"/>
          <w:b/>
          <w:bCs/>
        </w:rPr>
        <w:t xml:space="preserve">: Define </w:t>
      </w:r>
      <w:r w:rsidRPr="00105EDF">
        <w:rPr>
          <w:rFonts w:ascii="Times New Roman" w:hAnsi="Times New Roman" w:cs="Times New Roman" w:hint="eastAsia"/>
          <w:b/>
          <w:bCs/>
        </w:rPr>
        <w:t xml:space="preserve">TPR (e.g. </w:t>
      </w:r>
      <w:r w:rsidRPr="00105EDF">
        <w:rPr>
          <w:rFonts w:ascii="Times New Roman" w:hAnsi="Times New Roman" w:cs="Times New Roman"/>
          <w:b/>
          <w:bCs/>
        </w:rPr>
        <w:t>joint/composite requirement</w:t>
      </w:r>
      <w:r w:rsidRPr="00105EDF">
        <w:rPr>
          <w:rFonts w:ascii="Times New Roman" w:hAnsi="Times New Roman" w:cs="Times New Roman" w:hint="eastAsia"/>
          <w:b/>
          <w:bCs/>
        </w:rPr>
        <w:t>)</w:t>
      </w:r>
      <w:r w:rsidRPr="00105EDF">
        <w:rPr>
          <w:rFonts w:ascii="Times New Roman" w:hAnsi="Times New Roman" w:cs="Times New Roman"/>
          <w:b/>
          <w:bCs/>
        </w:rPr>
        <w:t xml:space="preserve"> </w:t>
      </w:r>
      <w:r w:rsidRPr="00105EDF">
        <w:rPr>
          <w:rFonts w:ascii="Times New Roman" w:hAnsi="Times New Roman" w:cs="Times New Roman" w:hint="eastAsia"/>
          <w:b/>
          <w:bCs/>
        </w:rPr>
        <w:t>related to</w:t>
      </w:r>
      <w:r w:rsidRPr="00105EDF">
        <w:rPr>
          <w:rFonts w:ascii="Times New Roman" w:hAnsi="Times New Roman" w:cs="Times New Roman"/>
          <w:b/>
          <w:bCs/>
        </w:rPr>
        <w:t xml:space="preserve"> data rate, latency, reliability</w:t>
      </w:r>
      <w:r w:rsidRPr="00105EDF">
        <w:rPr>
          <w:rFonts w:ascii="Times New Roman" w:hAnsi="Times New Roman" w:cs="Times New Roman" w:hint="eastAsia"/>
          <w:b/>
          <w:bCs/>
        </w:rPr>
        <w:t>, capacity etc.</w:t>
      </w:r>
      <w:r w:rsidRPr="00105EDF">
        <w:rPr>
          <w:rFonts w:ascii="Times New Roman" w:hAnsi="Times New Roman" w:cs="Times New Roman"/>
          <w:b/>
          <w:bCs/>
        </w:rPr>
        <w:t xml:space="preserve"> as a candidate IMT-2030 TPR.</w:t>
      </w:r>
    </w:p>
    <w:p w14:paraId="28DA80AB" w14:textId="77777777" w:rsidR="00215ECB" w:rsidRPr="00105EDF" w:rsidRDefault="00215ECB" w:rsidP="00215ECB">
      <w:pPr>
        <w:pStyle w:val="a3"/>
        <w:widowControl w:val="0"/>
        <w:numPr>
          <w:ilvl w:val="0"/>
          <w:numId w:val="4"/>
        </w:numPr>
        <w:wordWrap/>
        <w:autoSpaceDE/>
        <w:autoSpaceDN/>
        <w:spacing w:after="160" w:line="278" w:lineRule="auto"/>
        <w:ind w:leftChars="0"/>
        <w:contextualSpacing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Applicable usage </w:t>
      </w:r>
      <w:r w:rsidRPr="00105EDF">
        <w:rPr>
          <w:rFonts w:ascii="Times New Roman" w:hAnsi="Times New Roman" w:cs="Times New Roman" w:hint="eastAsia"/>
          <w:b/>
          <w:bCs/>
        </w:rPr>
        <w:t xml:space="preserve">scenario: immersive </w:t>
      </w:r>
      <w:r w:rsidRPr="00105EDF">
        <w:rPr>
          <w:rFonts w:ascii="Times New Roman" w:hAnsi="Times New Roman" w:cs="Times New Roman"/>
          <w:b/>
          <w:bCs/>
        </w:rPr>
        <w:t>c</w:t>
      </w:r>
      <w:r>
        <w:rPr>
          <w:rFonts w:ascii="Times New Roman" w:hAnsi="Times New Roman" w:cs="Times New Roman" w:hint="eastAsia"/>
          <w:b/>
          <w:bCs/>
        </w:rPr>
        <w:t>ommunication</w:t>
      </w:r>
    </w:p>
    <w:p w14:paraId="5EBC6762" w14:textId="6102F842" w:rsidR="00E85AA6" w:rsidRDefault="00E85AA6" w:rsidP="002610FB">
      <w:pPr>
        <w:pStyle w:val="1"/>
        <w:keepLines/>
        <w:pBdr>
          <w:top w:val="single" w:sz="12" w:space="3" w:color="auto"/>
        </w:pBdr>
        <w:wordWrap/>
        <w:autoSpaceDE/>
        <w:autoSpaceDN/>
        <w:spacing w:before="240" w:after="180" w:line="259" w:lineRule="auto"/>
        <w:ind w:left="1134" w:hanging="1134"/>
        <w:rPr>
          <w:rFonts w:ascii="Arial" w:eastAsia="바탕" w:hAnsi="Arial" w:cs="Times New Roman"/>
          <w:color w:val="000000" w:themeColor="text1"/>
          <w:sz w:val="36"/>
          <w:szCs w:val="20"/>
          <w:lang w:val="en-GB" w:eastAsia="en-US"/>
        </w:rPr>
      </w:pPr>
      <w:r w:rsidRPr="002610FB">
        <w:rPr>
          <w:rFonts w:ascii="Arial" w:eastAsia="바탕" w:hAnsi="Arial" w:cs="Times New Roman" w:hint="eastAsia"/>
          <w:color w:val="000000" w:themeColor="text1"/>
          <w:sz w:val="36"/>
          <w:szCs w:val="20"/>
          <w:lang w:val="en-GB" w:eastAsia="en-US"/>
        </w:rPr>
        <w:t>Proposed TPRs</w:t>
      </w:r>
    </w:p>
    <w:p w14:paraId="187D1393" w14:textId="76998FBD" w:rsidR="008B71F8" w:rsidRPr="00323194" w:rsidRDefault="00102029" w:rsidP="008B71F8">
      <w:pPr>
        <w:wordWrap/>
        <w:autoSpaceDE/>
        <w:autoSpaceDN/>
        <w:spacing w:after="180" w:line="259" w:lineRule="auto"/>
        <w:rPr>
          <w:rFonts w:ascii="Times New Roman" w:eastAsia="바탕" w:hAnsi="Times New Roman" w:cs="Times New Roman"/>
          <w:color w:val="000000" w:themeColor="text1"/>
          <w:sz w:val="22"/>
        </w:rPr>
      </w:pPr>
      <w:r>
        <w:rPr>
          <w:rFonts w:ascii="Times New Roman" w:eastAsia="바탕" w:hAnsi="Times New Roman" w:cs="Times New Roman" w:hint="eastAsia"/>
          <w:color w:val="000000" w:themeColor="text1"/>
          <w:sz w:val="22"/>
        </w:rPr>
        <w:t>LGE</w:t>
      </w:r>
      <w:r>
        <w:rPr>
          <w:rFonts w:ascii="Times New Roman" w:eastAsia="바탕" w:hAnsi="Times New Roman" w:cs="Times New Roman"/>
          <w:color w:val="000000" w:themeColor="text1"/>
          <w:sz w:val="22"/>
        </w:rPr>
        <w:t>’</w:t>
      </w:r>
      <w:r>
        <w:rPr>
          <w:rFonts w:ascii="Times New Roman" w:eastAsia="바탕" w:hAnsi="Times New Roman" w:cs="Times New Roman" w:hint="eastAsia"/>
          <w:color w:val="000000" w:themeColor="text1"/>
          <w:sz w:val="22"/>
        </w:rPr>
        <w:t>s views on TPRs are summarized in the table below.</w:t>
      </w:r>
    </w:p>
    <w:p w14:paraId="7E271C39" w14:textId="77777777" w:rsidR="008B71F8" w:rsidRPr="008B71F8" w:rsidRDefault="008B71F8" w:rsidP="008B71F8">
      <w:pPr>
        <w:rPr>
          <w:lang w:val="en-GB"/>
        </w:rPr>
      </w:pPr>
    </w:p>
    <w:tbl>
      <w:tblPr>
        <w:tblStyle w:val="a4"/>
        <w:tblW w:w="13801" w:type="dxa"/>
        <w:tblInd w:w="-5" w:type="dxa"/>
        <w:tblLook w:val="04A0" w:firstRow="1" w:lastRow="0" w:firstColumn="1" w:lastColumn="0" w:noHBand="0" w:noVBand="1"/>
      </w:tblPr>
      <w:tblGrid>
        <w:gridCol w:w="811"/>
        <w:gridCol w:w="1593"/>
        <w:gridCol w:w="2132"/>
        <w:gridCol w:w="4325"/>
        <w:gridCol w:w="4940"/>
      </w:tblGrid>
      <w:tr w:rsidR="009E3A19" w:rsidRPr="00CC5F67" w14:paraId="67188341" w14:textId="77777777" w:rsidTr="00930D14">
        <w:trPr>
          <w:trHeight w:val="947"/>
        </w:trPr>
        <w:tc>
          <w:tcPr>
            <w:tcW w:w="2404" w:type="dxa"/>
            <w:gridSpan w:val="2"/>
            <w:vAlign w:val="center"/>
          </w:tcPr>
          <w:p w14:paraId="60C2D7D2" w14:textId="77777777" w:rsidR="009E3A19" w:rsidRPr="00047AA3" w:rsidRDefault="009E3A19" w:rsidP="00E85AA6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" w:name="OLE_LINK12"/>
            <w:r w:rsidRPr="00047AA3">
              <w:rPr>
                <w:b/>
                <w:bCs/>
                <w:sz w:val="18"/>
                <w:szCs w:val="18"/>
              </w:rPr>
              <w:lastRenderedPageBreak/>
              <w:t>ITU IMT-2030 TPR</w:t>
            </w:r>
          </w:p>
        </w:tc>
        <w:tc>
          <w:tcPr>
            <w:tcW w:w="2132" w:type="dxa"/>
            <w:vAlign w:val="center"/>
          </w:tcPr>
          <w:p w14:paraId="2DDE7838" w14:textId="77777777" w:rsidR="009E3A19" w:rsidRPr="00047AA3" w:rsidRDefault="009E3A19" w:rsidP="00E85AA6">
            <w:pPr>
              <w:jc w:val="center"/>
              <w:rPr>
                <w:b/>
                <w:bCs/>
                <w:sz w:val="18"/>
                <w:szCs w:val="18"/>
              </w:rPr>
            </w:pPr>
            <w:r w:rsidRPr="00047AA3">
              <w:rPr>
                <w:b/>
                <w:bCs/>
                <w:sz w:val="18"/>
                <w:szCs w:val="18"/>
              </w:rPr>
              <w:t>IMT-2020 Value</w:t>
            </w:r>
          </w:p>
        </w:tc>
        <w:tc>
          <w:tcPr>
            <w:tcW w:w="4325" w:type="dxa"/>
          </w:tcPr>
          <w:p w14:paraId="332F256B" w14:textId="590C0CCD" w:rsidR="009E3A19" w:rsidRPr="00047AA3" w:rsidRDefault="009E3A19" w:rsidP="00E85AA6">
            <w:pPr>
              <w:jc w:val="center"/>
              <w:rPr>
                <w:b/>
                <w:bCs/>
                <w:sz w:val="18"/>
                <w:szCs w:val="18"/>
              </w:rPr>
            </w:pPr>
            <w:r w:rsidRPr="00047AA3">
              <w:rPr>
                <w:rFonts w:hint="eastAsia"/>
                <w:b/>
                <w:bCs/>
                <w:sz w:val="18"/>
                <w:szCs w:val="18"/>
              </w:rPr>
              <w:t xml:space="preserve">LGE view </w:t>
            </w:r>
          </w:p>
        </w:tc>
        <w:tc>
          <w:tcPr>
            <w:tcW w:w="4940" w:type="dxa"/>
          </w:tcPr>
          <w:p w14:paraId="615DD09A" w14:textId="458C770B" w:rsidR="009E3A19" w:rsidRPr="00047AA3" w:rsidRDefault="009E3A19" w:rsidP="00E85AA6">
            <w:pPr>
              <w:jc w:val="center"/>
              <w:rPr>
                <w:b/>
                <w:bCs/>
                <w:sz w:val="18"/>
                <w:szCs w:val="18"/>
              </w:rPr>
            </w:pPr>
            <w:r w:rsidRPr="00047AA3">
              <w:rPr>
                <w:b/>
                <w:bCs/>
                <w:sz w:val="18"/>
                <w:szCs w:val="18"/>
              </w:rPr>
              <w:t>C</w:t>
            </w:r>
            <w:r w:rsidRPr="00047AA3">
              <w:rPr>
                <w:rFonts w:hint="eastAsia"/>
                <w:b/>
                <w:bCs/>
                <w:sz w:val="18"/>
                <w:szCs w:val="18"/>
              </w:rPr>
              <w:t xml:space="preserve">omment </w:t>
            </w:r>
          </w:p>
        </w:tc>
      </w:tr>
      <w:tr w:rsidR="009E3A19" w:rsidRPr="00CC5F67" w14:paraId="41C26C3A" w14:textId="77777777" w:rsidTr="00930D14">
        <w:trPr>
          <w:trHeight w:val="800"/>
        </w:trPr>
        <w:tc>
          <w:tcPr>
            <w:tcW w:w="2404" w:type="dxa"/>
            <w:gridSpan w:val="2"/>
            <w:vAlign w:val="center"/>
          </w:tcPr>
          <w:p w14:paraId="32703040" w14:textId="77777777" w:rsidR="009E3A19" w:rsidRPr="00047AA3" w:rsidRDefault="009E3A19" w:rsidP="00E85AA6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Peak data rate (Gbit/s)</w:t>
            </w:r>
          </w:p>
        </w:tc>
        <w:tc>
          <w:tcPr>
            <w:tcW w:w="2132" w:type="dxa"/>
            <w:vAlign w:val="center"/>
          </w:tcPr>
          <w:p w14:paraId="14F7E6B6" w14:textId="77777777" w:rsidR="009E3A19" w:rsidRPr="00047AA3" w:rsidRDefault="009E3A19" w:rsidP="00E85AA6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DL: 20</w:t>
            </w:r>
          </w:p>
          <w:p w14:paraId="055A9755" w14:textId="77777777" w:rsidR="009E3A19" w:rsidRPr="00047AA3" w:rsidRDefault="009E3A19" w:rsidP="00E85AA6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UL: 10</w:t>
            </w:r>
          </w:p>
        </w:tc>
        <w:tc>
          <w:tcPr>
            <w:tcW w:w="4325" w:type="dxa"/>
          </w:tcPr>
          <w:p w14:paraId="1906E657" w14:textId="7D3DEB61" w:rsidR="009E3A19" w:rsidRPr="00047AA3" w:rsidRDefault="009E3A19" w:rsidP="00E85AA6">
            <w:pPr>
              <w:rPr>
                <w:sz w:val="18"/>
                <w:szCs w:val="18"/>
              </w:rPr>
            </w:pPr>
            <w:r w:rsidRPr="00047AA3">
              <w:rPr>
                <w:rFonts w:hint="eastAsia"/>
                <w:sz w:val="18"/>
                <w:szCs w:val="18"/>
              </w:rPr>
              <w:t>1.5~2x of IMT-2020</w:t>
            </w:r>
          </w:p>
          <w:p w14:paraId="543FE48D" w14:textId="12EF1BDE" w:rsidR="009E3A19" w:rsidRPr="00047AA3" w:rsidRDefault="009E3A19" w:rsidP="004075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40" w:type="dxa"/>
          </w:tcPr>
          <w:p w14:paraId="782F1841" w14:textId="038699CE" w:rsidR="009E3A19" w:rsidRPr="00047AA3" w:rsidRDefault="009E3A19" w:rsidP="00E85AA6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Higher number of MIMO streams and higher order modulation are considered as enabling technologies</w:t>
            </w:r>
          </w:p>
        </w:tc>
      </w:tr>
      <w:tr w:rsidR="009E3A19" w:rsidRPr="00CC5F67" w14:paraId="172588DF" w14:textId="77777777" w:rsidTr="00930D14">
        <w:trPr>
          <w:trHeight w:val="800"/>
        </w:trPr>
        <w:tc>
          <w:tcPr>
            <w:tcW w:w="2404" w:type="dxa"/>
            <w:gridSpan w:val="2"/>
            <w:vAlign w:val="center"/>
          </w:tcPr>
          <w:p w14:paraId="5ABEB53A" w14:textId="77777777" w:rsidR="009E3A19" w:rsidRPr="00047AA3" w:rsidRDefault="009E3A19" w:rsidP="00E85AA6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Peak spectral efficiency (bit/s/Hz)</w:t>
            </w:r>
          </w:p>
        </w:tc>
        <w:tc>
          <w:tcPr>
            <w:tcW w:w="2132" w:type="dxa"/>
            <w:vAlign w:val="center"/>
          </w:tcPr>
          <w:p w14:paraId="613B48D6" w14:textId="77777777" w:rsidR="009E3A19" w:rsidRPr="00047AA3" w:rsidRDefault="009E3A19" w:rsidP="00E85AA6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DL: 30</w:t>
            </w:r>
          </w:p>
          <w:p w14:paraId="3A66209F" w14:textId="77777777" w:rsidR="009E3A19" w:rsidRPr="00047AA3" w:rsidRDefault="009E3A19" w:rsidP="00E85AA6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UL: 15</w:t>
            </w:r>
          </w:p>
        </w:tc>
        <w:tc>
          <w:tcPr>
            <w:tcW w:w="4325" w:type="dxa"/>
          </w:tcPr>
          <w:p w14:paraId="713292F2" w14:textId="4E8C3551" w:rsidR="009E3A19" w:rsidRPr="00047AA3" w:rsidRDefault="009E3A19" w:rsidP="00E85AA6">
            <w:pPr>
              <w:rPr>
                <w:sz w:val="18"/>
                <w:szCs w:val="18"/>
              </w:rPr>
            </w:pPr>
            <w:r w:rsidRPr="00047AA3">
              <w:rPr>
                <w:rFonts w:hint="eastAsia"/>
                <w:sz w:val="18"/>
                <w:szCs w:val="18"/>
              </w:rPr>
              <w:t>1.5~2x of IMT-2020</w:t>
            </w:r>
          </w:p>
        </w:tc>
        <w:tc>
          <w:tcPr>
            <w:tcW w:w="4940" w:type="dxa"/>
          </w:tcPr>
          <w:p w14:paraId="0575E6D7" w14:textId="322FDCB3" w:rsidR="009E3A19" w:rsidRPr="00047AA3" w:rsidRDefault="009E3A19" w:rsidP="00E85AA6">
            <w:pPr>
              <w:rPr>
                <w:sz w:val="18"/>
                <w:szCs w:val="18"/>
              </w:rPr>
            </w:pPr>
          </w:p>
        </w:tc>
      </w:tr>
      <w:bookmarkEnd w:id="1"/>
      <w:tr w:rsidR="00930D14" w:rsidRPr="00CC5F67" w14:paraId="7B56362E" w14:textId="77777777" w:rsidTr="00930D14">
        <w:trPr>
          <w:trHeight w:val="800"/>
        </w:trPr>
        <w:tc>
          <w:tcPr>
            <w:tcW w:w="2404" w:type="dxa"/>
            <w:gridSpan w:val="2"/>
            <w:vAlign w:val="center"/>
          </w:tcPr>
          <w:p w14:paraId="6873AF82" w14:textId="6949C101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User experienced data rate (Mbit/s)</w:t>
            </w:r>
          </w:p>
        </w:tc>
        <w:tc>
          <w:tcPr>
            <w:tcW w:w="2132" w:type="dxa"/>
            <w:vAlign w:val="center"/>
          </w:tcPr>
          <w:p w14:paraId="4D7E28E4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DL: 100</w:t>
            </w:r>
          </w:p>
          <w:p w14:paraId="39210F54" w14:textId="7BF39162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UL: 50</w:t>
            </w:r>
          </w:p>
        </w:tc>
        <w:tc>
          <w:tcPr>
            <w:tcW w:w="4325" w:type="dxa"/>
          </w:tcPr>
          <w:p w14:paraId="4A1D65A5" w14:textId="77777777" w:rsidR="00930D14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3x of IMT-2020</w:t>
            </w:r>
          </w:p>
          <w:p w14:paraId="4455E215" w14:textId="71821B3A" w:rsidR="00930D14" w:rsidRPr="00047AA3" w:rsidRDefault="00930D14" w:rsidP="00930D14">
            <w:pPr>
              <w:rPr>
                <w:sz w:val="18"/>
                <w:szCs w:val="18"/>
              </w:rPr>
            </w:pPr>
          </w:p>
        </w:tc>
        <w:tc>
          <w:tcPr>
            <w:tcW w:w="4940" w:type="dxa"/>
          </w:tcPr>
          <w:p w14:paraId="2DCF0DEE" w14:textId="77777777" w:rsidR="00930D14" w:rsidRPr="00047AA3" w:rsidRDefault="00930D14" w:rsidP="00930D14">
            <w:pPr>
              <w:rPr>
                <w:sz w:val="18"/>
                <w:szCs w:val="18"/>
              </w:rPr>
            </w:pPr>
          </w:p>
        </w:tc>
      </w:tr>
      <w:tr w:rsidR="00930D14" w:rsidRPr="00CC5F67" w14:paraId="76FB971D" w14:textId="77777777" w:rsidTr="00930D14">
        <w:trPr>
          <w:trHeight w:val="800"/>
        </w:trPr>
        <w:tc>
          <w:tcPr>
            <w:tcW w:w="2404" w:type="dxa"/>
            <w:gridSpan w:val="2"/>
            <w:vAlign w:val="center"/>
          </w:tcPr>
          <w:p w14:paraId="2B982D33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5th percentile user spectral</w:t>
            </w:r>
          </w:p>
          <w:p w14:paraId="06D2A9ED" w14:textId="080AD6C5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efficiency (bit/s/Hz)</w:t>
            </w:r>
          </w:p>
        </w:tc>
        <w:tc>
          <w:tcPr>
            <w:tcW w:w="2132" w:type="dxa"/>
            <w:vAlign w:val="center"/>
          </w:tcPr>
          <w:p w14:paraId="22DE03DB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Indoor Hotspot-eMBB:</w:t>
            </w:r>
          </w:p>
          <w:p w14:paraId="3A46BC8E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DL: 0.3</w:t>
            </w:r>
          </w:p>
          <w:p w14:paraId="46BC5ED0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UL: 0.21</w:t>
            </w:r>
          </w:p>
          <w:p w14:paraId="438E397D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 xml:space="preserve">Dense Urban - eMBB: </w:t>
            </w:r>
          </w:p>
          <w:p w14:paraId="424047C7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DL: 0.225</w:t>
            </w:r>
          </w:p>
          <w:p w14:paraId="370E6F31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UL: 0.15</w:t>
            </w:r>
          </w:p>
          <w:p w14:paraId="3FCC72BB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Rural-eMBB:</w:t>
            </w:r>
          </w:p>
          <w:p w14:paraId="215A5829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DL: 0.12</w:t>
            </w:r>
          </w:p>
          <w:p w14:paraId="5ACD9860" w14:textId="21F4E9C6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UL: 0.045</w:t>
            </w:r>
          </w:p>
        </w:tc>
        <w:tc>
          <w:tcPr>
            <w:tcW w:w="4325" w:type="dxa"/>
          </w:tcPr>
          <w:p w14:paraId="1C5B8C52" w14:textId="4BB91257" w:rsidR="00930D14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rFonts w:hint="eastAsia"/>
                <w:sz w:val="18"/>
                <w:szCs w:val="18"/>
              </w:rPr>
              <w:t>2x of IMT-2020</w:t>
            </w:r>
          </w:p>
        </w:tc>
        <w:tc>
          <w:tcPr>
            <w:tcW w:w="4940" w:type="dxa"/>
            <w:vAlign w:val="center"/>
          </w:tcPr>
          <w:p w14:paraId="7F22D969" w14:textId="3EA45612" w:rsidR="00930D14" w:rsidRPr="00047AA3" w:rsidRDefault="00930D14" w:rsidP="00930D14">
            <w:pPr>
              <w:rPr>
                <w:sz w:val="18"/>
                <w:szCs w:val="18"/>
              </w:rPr>
            </w:pPr>
          </w:p>
        </w:tc>
      </w:tr>
      <w:tr w:rsidR="00930D14" w:rsidRPr="00CC5F67" w14:paraId="79F756AC" w14:textId="77777777" w:rsidTr="00930D14">
        <w:trPr>
          <w:trHeight w:val="3160"/>
        </w:trPr>
        <w:tc>
          <w:tcPr>
            <w:tcW w:w="2404" w:type="dxa"/>
            <w:gridSpan w:val="2"/>
            <w:vAlign w:val="center"/>
          </w:tcPr>
          <w:p w14:paraId="7D898C13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lastRenderedPageBreak/>
              <w:t>Average spectral efficiency (bit/s/Hz)</w:t>
            </w:r>
          </w:p>
        </w:tc>
        <w:tc>
          <w:tcPr>
            <w:tcW w:w="2132" w:type="dxa"/>
            <w:vAlign w:val="center"/>
          </w:tcPr>
          <w:p w14:paraId="20CFA1A0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 xml:space="preserve">Indoor Hotspot - eMBB: </w:t>
            </w:r>
          </w:p>
          <w:p w14:paraId="5878402E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 xml:space="preserve">- DL: 9; </w:t>
            </w:r>
          </w:p>
          <w:p w14:paraId="18430260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UL: 6.75</w:t>
            </w:r>
          </w:p>
          <w:p w14:paraId="5DBED24C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 xml:space="preserve">Dense Urban - eMBB: </w:t>
            </w:r>
          </w:p>
          <w:p w14:paraId="7C969B00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 xml:space="preserve">- DL: 7.8; </w:t>
            </w:r>
          </w:p>
          <w:p w14:paraId="38C556B2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UL: 5.4</w:t>
            </w:r>
          </w:p>
          <w:p w14:paraId="059BC2B5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Rural - eMBB:</w:t>
            </w:r>
          </w:p>
          <w:p w14:paraId="43895DA4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 xml:space="preserve">- DL: 3.3; </w:t>
            </w:r>
          </w:p>
          <w:p w14:paraId="07DA25C9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UL: 1.6</w:t>
            </w:r>
          </w:p>
        </w:tc>
        <w:tc>
          <w:tcPr>
            <w:tcW w:w="4325" w:type="dxa"/>
          </w:tcPr>
          <w:p w14:paraId="111794BF" w14:textId="66669951" w:rsidR="00930D14" w:rsidRPr="00047AA3" w:rsidRDefault="00C272D2" w:rsidP="00930D14">
            <w:pPr>
              <w:rPr>
                <w:sz w:val="18"/>
                <w:szCs w:val="18"/>
              </w:rPr>
            </w:pPr>
            <w:r w:rsidRPr="00047AA3">
              <w:rPr>
                <w:rFonts w:hint="eastAsia"/>
                <w:sz w:val="18"/>
                <w:szCs w:val="18"/>
              </w:rPr>
              <w:t>2x of IMT-2020</w:t>
            </w:r>
          </w:p>
        </w:tc>
        <w:tc>
          <w:tcPr>
            <w:tcW w:w="4940" w:type="dxa"/>
          </w:tcPr>
          <w:p w14:paraId="2A1B7229" w14:textId="421DECF0" w:rsidR="00930D14" w:rsidRPr="00047AA3" w:rsidRDefault="00930D14" w:rsidP="00930D14">
            <w:pPr>
              <w:rPr>
                <w:sz w:val="18"/>
                <w:szCs w:val="18"/>
              </w:rPr>
            </w:pPr>
          </w:p>
        </w:tc>
      </w:tr>
      <w:tr w:rsidR="00930D14" w:rsidRPr="00CC5F67" w14:paraId="3F214ECD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20C50523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Area traffic capacity (Mbit/s/m²)</w:t>
            </w:r>
          </w:p>
        </w:tc>
        <w:tc>
          <w:tcPr>
            <w:tcW w:w="2132" w:type="dxa"/>
            <w:vAlign w:val="center"/>
          </w:tcPr>
          <w:p w14:paraId="4162E4E9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DL: 10</w:t>
            </w:r>
          </w:p>
        </w:tc>
        <w:tc>
          <w:tcPr>
            <w:tcW w:w="4325" w:type="dxa"/>
          </w:tcPr>
          <w:p w14:paraId="5DFE0D1B" w14:textId="0FD684A3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rFonts w:hint="eastAsia"/>
                <w:sz w:val="18"/>
                <w:szCs w:val="18"/>
              </w:rPr>
              <w:t>1.5~2x of IMT-2020</w:t>
            </w:r>
          </w:p>
        </w:tc>
        <w:tc>
          <w:tcPr>
            <w:tcW w:w="4940" w:type="dxa"/>
          </w:tcPr>
          <w:p w14:paraId="04D01E26" w14:textId="302FA442" w:rsidR="00930D14" w:rsidRPr="00047AA3" w:rsidRDefault="00930D14" w:rsidP="00930D14">
            <w:pPr>
              <w:rPr>
                <w:sz w:val="18"/>
                <w:szCs w:val="18"/>
              </w:rPr>
            </w:pPr>
          </w:p>
        </w:tc>
      </w:tr>
      <w:tr w:rsidR="00930D14" w:rsidRPr="00CC5F67" w14:paraId="17B02838" w14:textId="77777777" w:rsidTr="00930D14">
        <w:trPr>
          <w:trHeight w:val="379"/>
        </w:trPr>
        <w:tc>
          <w:tcPr>
            <w:tcW w:w="811" w:type="dxa"/>
            <w:vMerge w:val="restart"/>
            <w:vAlign w:val="center"/>
          </w:tcPr>
          <w:p w14:paraId="7BD8F4BF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latency</w:t>
            </w:r>
          </w:p>
        </w:tc>
        <w:tc>
          <w:tcPr>
            <w:tcW w:w="1593" w:type="dxa"/>
            <w:vAlign w:val="center"/>
          </w:tcPr>
          <w:p w14:paraId="4D324144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User plane latency (</w:t>
            </w:r>
            <w:proofErr w:type="spellStart"/>
            <w:r w:rsidRPr="00047AA3">
              <w:rPr>
                <w:sz w:val="18"/>
                <w:szCs w:val="18"/>
              </w:rPr>
              <w:t>ms</w:t>
            </w:r>
            <w:proofErr w:type="spellEnd"/>
            <w:r w:rsidRPr="00047AA3">
              <w:rPr>
                <w:sz w:val="18"/>
                <w:szCs w:val="18"/>
              </w:rPr>
              <w:t>)</w:t>
            </w:r>
          </w:p>
        </w:tc>
        <w:tc>
          <w:tcPr>
            <w:tcW w:w="2132" w:type="dxa"/>
            <w:vAlign w:val="center"/>
          </w:tcPr>
          <w:p w14:paraId="1BFEAD8A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eMBB: 4</w:t>
            </w:r>
          </w:p>
          <w:p w14:paraId="145446D3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URLLC: 1</w:t>
            </w:r>
          </w:p>
        </w:tc>
        <w:tc>
          <w:tcPr>
            <w:tcW w:w="4325" w:type="dxa"/>
            <w:vAlign w:val="center"/>
          </w:tcPr>
          <w:p w14:paraId="26C38B2B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eMBB: 4</w:t>
            </w:r>
          </w:p>
          <w:p w14:paraId="78752988" w14:textId="36BEB721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URLLC: 1</w:t>
            </w:r>
          </w:p>
        </w:tc>
        <w:tc>
          <w:tcPr>
            <w:tcW w:w="4940" w:type="dxa"/>
          </w:tcPr>
          <w:p w14:paraId="16961BAB" w14:textId="4A6EF583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Open to consider more stringent latency requirements for new traffic types</w:t>
            </w:r>
          </w:p>
        </w:tc>
      </w:tr>
      <w:tr w:rsidR="00930D14" w:rsidRPr="00CC5F67" w14:paraId="0CB404C6" w14:textId="77777777" w:rsidTr="00930D14">
        <w:trPr>
          <w:trHeight w:val="379"/>
        </w:trPr>
        <w:tc>
          <w:tcPr>
            <w:tcW w:w="811" w:type="dxa"/>
            <w:vMerge/>
            <w:vAlign w:val="center"/>
          </w:tcPr>
          <w:p w14:paraId="5C03AF8E" w14:textId="77777777" w:rsidR="00930D14" w:rsidRPr="00047AA3" w:rsidRDefault="00930D14" w:rsidP="00930D1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Align w:val="center"/>
          </w:tcPr>
          <w:p w14:paraId="1472B1CE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Control plane latency (</w:t>
            </w:r>
            <w:proofErr w:type="spellStart"/>
            <w:r w:rsidRPr="00047AA3">
              <w:rPr>
                <w:sz w:val="18"/>
                <w:szCs w:val="18"/>
              </w:rPr>
              <w:t>ms</w:t>
            </w:r>
            <w:proofErr w:type="spellEnd"/>
            <w:r w:rsidRPr="00047AA3">
              <w:rPr>
                <w:sz w:val="18"/>
                <w:szCs w:val="18"/>
              </w:rPr>
              <w:t>)</w:t>
            </w:r>
          </w:p>
        </w:tc>
        <w:tc>
          <w:tcPr>
            <w:tcW w:w="2132" w:type="dxa"/>
            <w:vAlign w:val="center"/>
          </w:tcPr>
          <w:p w14:paraId="0F1BEFCD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20</w:t>
            </w:r>
          </w:p>
        </w:tc>
        <w:tc>
          <w:tcPr>
            <w:tcW w:w="4325" w:type="dxa"/>
            <w:vAlign w:val="center"/>
          </w:tcPr>
          <w:p w14:paraId="3DCB3548" w14:textId="042B2033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4940" w:type="dxa"/>
          </w:tcPr>
          <w:p w14:paraId="37C7F2A2" w14:textId="67F9AB72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 xml:space="preserve">Open to consider more stringent latency requirements </w:t>
            </w:r>
          </w:p>
        </w:tc>
      </w:tr>
      <w:tr w:rsidR="00930D14" w:rsidRPr="00CC5F67" w14:paraId="573E37BC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7127E430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Connection density (devices/km²)</w:t>
            </w:r>
          </w:p>
        </w:tc>
        <w:tc>
          <w:tcPr>
            <w:tcW w:w="2132" w:type="dxa"/>
            <w:vAlign w:val="center"/>
          </w:tcPr>
          <w:p w14:paraId="2269F17C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10</w:t>
            </w:r>
            <w:r w:rsidRPr="00047AA3">
              <w:rPr>
                <w:rFonts w:ascii="Cambria Math" w:hAnsi="Cambria Math" w:cs="Cambria Math"/>
                <w:sz w:val="18"/>
                <w:szCs w:val="18"/>
              </w:rPr>
              <w:t>⁶</w:t>
            </w:r>
          </w:p>
        </w:tc>
        <w:tc>
          <w:tcPr>
            <w:tcW w:w="4325" w:type="dxa"/>
          </w:tcPr>
          <w:p w14:paraId="149071A8" w14:textId="63AB589C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10</w:t>
            </w:r>
            <w:r w:rsidRPr="00047AA3">
              <w:rPr>
                <w:sz w:val="18"/>
                <w:szCs w:val="18"/>
                <w:vertAlign w:val="superscript"/>
              </w:rPr>
              <w:t xml:space="preserve">6 </w:t>
            </w:r>
            <w:r w:rsidRPr="00047AA3">
              <w:rPr>
                <w:sz w:val="18"/>
                <w:szCs w:val="18"/>
              </w:rPr>
              <w:t>/km</w:t>
            </w:r>
            <w:r w:rsidRPr="00047AA3">
              <w:rPr>
                <w:sz w:val="18"/>
                <w:szCs w:val="18"/>
                <w:vertAlign w:val="superscript"/>
              </w:rPr>
              <w:t>2</w:t>
            </w:r>
            <w:r w:rsidRPr="00047AA3">
              <w:rPr>
                <w:sz w:val="18"/>
                <w:szCs w:val="18"/>
              </w:rPr>
              <w:t xml:space="preserve"> for normal devices</w:t>
            </w:r>
          </w:p>
          <w:p w14:paraId="41407369" w14:textId="2C476D6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10</w:t>
            </w:r>
            <w:r w:rsidRPr="00047AA3">
              <w:rPr>
                <w:sz w:val="18"/>
                <w:szCs w:val="18"/>
                <w:vertAlign w:val="superscript"/>
              </w:rPr>
              <w:t xml:space="preserve">7 </w:t>
            </w:r>
            <w:r w:rsidRPr="00047AA3">
              <w:rPr>
                <w:sz w:val="18"/>
                <w:szCs w:val="18"/>
              </w:rPr>
              <w:t>/km</w:t>
            </w:r>
            <w:r w:rsidRPr="00047AA3">
              <w:rPr>
                <w:sz w:val="18"/>
                <w:szCs w:val="18"/>
                <w:vertAlign w:val="superscript"/>
              </w:rPr>
              <w:t>2</w:t>
            </w:r>
            <w:r w:rsidRPr="00047AA3">
              <w:rPr>
                <w:sz w:val="18"/>
                <w:szCs w:val="18"/>
              </w:rPr>
              <w:t xml:space="preserve"> for IoT devices</w:t>
            </w:r>
          </w:p>
        </w:tc>
        <w:tc>
          <w:tcPr>
            <w:tcW w:w="4940" w:type="dxa"/>
          </w:tcPr>
          <w:p w14:paraId="1230050B" w14:textId="4B3CCD47" w:rsidR="00930D14" w:rsidRPr="00047AA3" w:rsidRDefault="00930D14" w:rsidP="00930D14">
            <w:pPr>
              <w:rPr>
                <w:sz w:val="18"/>
                <w:szCs w:val="18"/>
              </w:rPr>
            </w:pPr>
          </w:p>
        </w:tc>
      </w:tr>
      <w:tr w:rsidR="00930D14" w:rsidRPr="00CC5F67" w14:paraId="499D5967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08ECFEBE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Reliability</w:t>
            </w:r>
          </w:p>
        </w:tc>
        <w:tc>
          <w:tcPr>
            <w:tcW w:w="2132" w:type="dxa"/>
            <w:vAlign w:val="center"/>
          </w:tcPr>
          <w:p w14:paraId="06F57187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- 10</w:t>
            </w:r>
            <w:r w:rsidRPr="00047AA3">
              <w:rPr>
                <w:rFonts w:ascii="Cambria Math" w:hAnsi="Cambria Math" w:cs="Cambria Math"/>
                <w:sz w:val="18"/>
                <w:szCs w:val="18"/>
              </w:rPr>
              <w:t>⁻⁵</w:t>
            </w:r>
          </w:p>
        </w:tc>
        <w:tc>
          <w:tcPr>
            <w:tcW w:w="4325" w:type="dxa"/>
          </w:tcPr>
          <w:p w14:paraId="4DC71D27" w14:textId="5D142086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10</w:t>
            </w:r>
            <w:r w:rsidRPr="00047AA3">
              <w:rPr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4940" w:type="dxa"/>
          </w:tcPr>
          <w:p w14:paraId="6F0C6576" w14:textId="33AB159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Open to consider more stringent reliability requirement for new traffic types</w:t>
            </w:r>
          </w:p>
        </w:tc>
      </w:tr>
      <w:tr w:rsidR="00930D14" w:rsidRPr="00CC5F67" w14:paraId="3BD06428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7737BA33" w14:textId="0E0BA700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Mobility (bit/s/Hz @ km/h)</w:t>
            </w:r>
          </w:p>
        </w:tc>
        <w:tc>
          <w:tcPr>
            <w:tcW w:w="2132" w:type="dxa"/>
            <w:vAlign w:val="center"/>
          </w:tcPr>
          <w:p w14:paraId="701255B5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Indoor Hotspot-eMBB:</w:t>
            </w:r>
          </w:p>
          <w:p w14:paraId="0A6EEF20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1.5 @10 km/h</w:t>
            </w:r>
          </w:p>
          <w:p w14:paraId="5CD86787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</w:p>
          <w:p w14:paraId="75089C21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Dense Urban- eMBB:</w:t>
            </w:r>
          </w:p>
          <w:p w14:paraId="665A8204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1.12 @30 km/h</w:t>
            </w:r>
          </w:p>
          <w:p w14:paraId="393AC02D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</w:p>
          <w:p w14:paraId="1DEB4755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Rural-eMBB:</w:t>
            </w:r>
          </w:p>
          <w:p w14:paraId="661C3835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0.8 @120 km/h</w:t>
            </w:r>
          </w:p>
          <w:p w14:paraId="2FEF26D9" w14:textId="63A52929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0.45 @500 km/h</w:t>
            </w:r>
          </w:p>
        </w:tc>
        <w:tc>
          <w:tcPr>
            <w:tcW w:w="4325" w:type="dxa"/>
          </w:tcPr>
          <w:p w14:paraId="5228F6EA" w14:textId="77777777" w:rsidR="00930D14" w:rsidRPr="007C586E" w:rsidRDefault="00930D14" w:rsidP="007C586E">
            <w:pPr>
              <w:rPr>
                <w:sz w:val="18"/>
                <w:szCs w:val="18"/>
              </w:rPr>
            </w:pPr>
            <w:r w:rsidRPr="007C586E">
              <w:rPr>
                <w:rFonts w:hint="eastAsia"/>
                <w:sz w:val="18"/>
                <w:szCs w:val="18"/>
              </w:rPr>
              <w:t xml:space="preserve">1.5~2 x IMT-2020  </w:t>
            </w:r>
          </w:p>
          <w:p w14:paraId="089553DD" w14:textId="77777777" w:rsidR="00930D14" w:rsidRPr="007C586E" w:rsidRDefault="00930D14" w:rsidP="007C586E">
            <w:pPr>
              <w:rPr>
                <w:sz w:val="18"/>
                <w:szCs w:val="18"/>
              </w:rPr>
            </w:pPr>
          </w:p>
          <w:p w14:paraId="04B2111A" w14:textId="63BF0B7E" w:rsidR="00930D14" w:rsidRPr="00047AA3" w:rsidRDefault="00930D14" w:rsidP="007C586E">
            <w:pPr>
              <w:rPr>
                <w:sz w:val="18"/>
                <w:szCs w:val="18"/>
              </w:rPr>
            </w:pPr>
            <w:r w:rsidRPr="00047AA3">
              <w:rPr>
                <w:rFonts w:hint="eastAsia"/>
                <w:sz w:val="18"/>
                <w:szCs w:val="18"/>
              </w:rPr>
              <w:t>Add spectral efficiency for 1000 Km/h (FFS for SE value)</w:t>
            </w:r>
          </w:p>
        </w:tc>
        <w:tc>
          <w:tcPr>
            <w:tcW w:w="4940" w:type="dxa"/>
          </w:tcPr>
          <w:p w14:paraId="3328C22E" w14:textId="3E1CEABF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Need to support high-speed aerial vehicle communication including Air-To-Ground</w:t>
            </w:r>
            <w:r w:rsidR="00D71C91">
              <w:rPr>
                <w:rFonts w:hint="eastAsia"/>
                <w:sz w:val="18"/>
                <w:szCs w:val="18"/>
              </w:rPr>
              <w:t xml:space="preserve"> (ATG)</w:t>
            </w:r>
            <w:r w:rsidRPr="00047AA3">
              <w:rPr>
                <w:sz w:val="18"/>
                <w:szCs w:val="18"/>
              </w:rPr>
              <w:t xml:space="preserve"> communication  </w:t>
            </w:r>
          </w:p>
          <w:p w14:paraId="3E46C3C0" w14:textId="77777777" w:rsidR="00930D14" w:rsidRPr="00047AA3" w:rsidRDefault="00930D14" w:rsidP="00930D14">
            <w:pPr>
              <w:rPr>
                <w:sz w:val="18"/>
                <w:szCs w:val="18"/>
              </w:rPr>
            </w:pPr>
          </w:p>
        </w:tc>
      </w:tr>
      <w:tr w:rsidR="00930D14" w:rsidRPr="00CC5F67" w14:paraId="5D471A83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2F49998D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lastRenderedPageBreak/>
              <w:t>Mobility interruption time (</w:t>
            </w:r>
            <w:proofErr w:type="spellStart"/>
            <w:r w:rsidRPr="00047AA3">
              <w:rPr>
                <w:sz w:val="18"/>
                <w:szCs w:val="18"/>
              </w:rPr>
              <w:t>ms</w:t>
            </w:r>
            <w:proofErr w:type="spellEnd"/>
            <w:r w:rsidRPr="00047AA3">
              <w:rPr>
                <w:sz w:val="18"/>
                <w:szCs w:val="18"/>
              </w:rPr>
              <w:t>)</w:t>
            </w:r>
          </w:p>
        </w:tc>
        <w:tc>
          <w:tcPr>
            <w:tcW w:w="2132" w:type="dxa"/>
            <w:vAlign w:val="center"/>
          </w:tcPr>
          <w:p w14:paraId="35949575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0</w:t>
            </w:r>
          </w:p>
        </w:tc>
        <w:tc>
          <w:tcPr>
            <w:tcW w:w="4325" w:type="dxa"/>
          </w:tcPr>
          <w:p w14:paraId="47B2A696" w14:textId="6E54A105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C</w:t>
            </w:r>
            <w:r w:rsidRPr="00047AA3">
              <w:rPr>
                <w:rFonts w:hint="eastAsia"/>
                <w:sz w:val="18"/>
                <w:szCs w:val="18"/>
              </w:rPr>
              <w:t>lose</w:t>
            </w:r>
            <w:r>
              <w:rPr>
                <w:rFonts w:hint="eastAsia"/>
                <w:sz w:val="18"/>
                <w:szCs w:val="18"/>
              </w:rPr>
              <w:t>-</w:t>
            </w:r>
            <w:r w:rsidRPr="00047AA3">
              <w:rPr>
                <w:rFonts w:hint="eastAsia"/>
                <w:sz w:val="18"/>
                <w:szCs w:val="18"/>
              </w:rPr>
              <w:t>to</w:t>
            </w:r>
            <w:r>
              <w:rPr>
                <w:rFonts w:hint="eastAsia"/>
                <w:sz w:val="18"/>
                <w:szCs w:val="18"/>
              </w:rPr>
              <w:t>-</w:t>
            </w:r>
            <w:r w:rsidRPr="00047AA3">
              <w:rPr>
                <w:rFonts w:hint="eastAsia"/>
                <w:sz w:val="18"/>
                <w:szCs w:val="18"/>
              </w:rPr>
              <w:t xml:space="preserve">0 </w:t>
            </w:r>
            <w:proofErr w:type="spellStart"/>
            <w:r w:rsidRPr="00047AA3">
              <w:rPr>
                <w:rFonts w:hint="eastAsia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4940" w:type="dxa"/>
          </w:tcPr>
          <w:p w14:paraId="65934190" w14:textId="2A0F6B88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‘</w:t>
            </w:r>
            <w:r w:rsidRPr="00047AA3">
              <w:rPr>
                <w:rFonts w:hint="eastAsia"/>
                <w:sz w:val="18"/>
                <w:szCs w:val="18"/>
              </w:rPr>
              <w:t>Close-to-0ms</w:t>
            </w:r>
            <w:r w:rsidRPr="00047AA3">
              <w:rPr>
                <w:sz w:val="18"/>
                <w:szCs w:val="18"/>
              </w:rPr>
              <w:t>’</w:t>
            </w:r>
            <w:r w:rsidRPr="00047AA3">
              <w:rPr>
                <w:rFonts w:hint="eastAsia"/>
                <w:sz w:val="18"/>
                <w:szCs w:val="18"/>
              </w:rPr>
              <w:t xml:space="preserve"> rather than </w:t>
            </w:r>
            <w:r w:rsidRPr="00047AA3">
              <w:rPr>
                <w:sz w:val="18"/>
                <w:szCs w:val="18"/>
              </w:rPr>
              <w:t>‘</w:t>
            </w:r>
            <w:r w:rsidRPr="00047AA3">
              <w:rPr>
                <w:rFonts w:hint="eastAsia"/>
                <w:sz w:val="18"/>
                <w:szCs w:val="18"/>
              </w:rPr>
              <w:t>0ms</w:t>
            </w:r>
            <w:r w:rsidRPr="00047AA3">
              <w:rPr>
                <w:sz w:val="18"/>
                <w:szCs w:val="18"/>
              </w:rPr>
              <w:t>’</w:t>
            </w:r>
            <w:r w:rsidRPr="00047AA3">
              <w:rPr>
                <w:rFonts w:hint="eastAsia"/>
                <w:sz w:val="18"/>
                <w:szCs w:val="18"/>
              </w:rPr>
              <w:t xml:space="preserve"> is preferred to avoid mandating the support of concurrent connection of source cell and target cell</w:t>
            </w:r>
          </w:p>
        </w:tc>
      </w:tr>
      <w:tr w:rsidR="00930D14" w:rsidRPr="00CC5F67" w14:paraId="6FB3AEB7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0BD0EE55" w14:textId="77777777" w:rsidR="00930D14" w:rsidRPr="00047AA3" w:rsidRDefault="00930D14" w:rsidP="00930D14">
            <w:pPr>
              <w:rPr>
                <w:sz w:val="18"/>
                <w:szCs w:val="18"/>
              </w:rPr>
            </w:pPr>
            <w:bookmarkStart w:id="2" w:name="_Hlk192833245"/>
            <w:r w:rsidRPr="00047AA3">
              <w:rPr>
                <w:sz w:val="18"/>
                <w:szCs w:val="18"/>
              </w:rPr>
              <w:t>Bandwidth (MHz)</w:t>
            </w:r>
          </w:p>
        </w:tc>
        <w:tc>
          <w:tcPr>
            <w:tcW w:w="2132" w:type="dxa"/>
            <w:vAlign w:val="center"/>
          </w:tcPr>
          <w:p w14:paraId="6953E514" w14:textId="77777777" w:rsidR="00930D14" w:rsidRPr="00047AA3" w:rsidRDefault="00930D14" w:rsidP="00930D14">
            <w:pPr>
              <w:pStyle w:val="Default"/>
              <w:rPr>
                <w:sz w:val="18"/>
                <w:szCs w:val="18"/>
              </w:rPr>
            </w:pPr>
            <w:r w:rsidRPr="00047AA3">
              <w:rPr>
                <w:sz w:val="18"/>
                <w:szCs w:val="18"/>
              </w:rPr>
              <w:t>100</w:t>
            </w:r>
          </w:p>
        </w:tc>
        <w:tc>
          <w:tcPr>
            <w:tcW w:w="4325" w:type="dxa"/>
          </w:tcPr>
          <w:p w14:paraId="3E30F473" w14:textId="72B1B42D" w:rsidR="00930D14" w:rsidRPr="00047AA3" w:rsidRDefault="00930D14" w:rsidP="00930D14">
            <w:pPr>
              <w:rPr>
                <w:sz w:val="18"/>
                <w:szCs w:val="18"/>
              </w:rPr>
            </w:pPr>
            <w:r w:rsidRPr="00047AA3">
              <w:rPr>
                <w:rFonts w:hint="eastAsia"/>
                <w:sz w:val="18"/>
                <w:szCs w:val="18"/>
              </w:rPr>
              <w:t>400 MHz</w:t>
            </w:r>
          </w:p>
        </w:tc>
        <w:tc>
          <w:tcPr>
            <w:tcW w:w="4940" w:type="dxa"/>
          </w:tcPr>
          <w:p w14:paraId="59B77FEE" w14:textId="2BAD9B70" w:rsidR="00930D14" w:rsidRPr="00047AA3" w:rsidRDefault="00930D14" w:rsidP="00930D14">
            <w:pPr>
              <w:rPr>
                <w:sz w:val="18"/>
                <w:szCs w:val="18"/>
              </w:rPr>
            </w:pPr>
          </w:p>
        </w:tc>
      </w:tr>
      <w:tr w:rsidR="00930D14" w:rsidRPr="00CC5F67" w14:paraId="00112AB3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531BC4B9" w14:textId="15DDF7F8" w:rsidR="00930D14" w:rsidRPr="00CC5F67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Joint TPR</w:t>
            </w:r>
          </w:p>
        </w:tc>
        <w:tc>
          <w:tcPr>
            <w:tcW w:w="2132" w:type="dxa"/>
            <w:vAlign w:val="center"/>
          </w:tcPr>
          <w:p w14:paraId="6B56D37B" w14:textId="77777777" w:rsidR="00930D14" w:rsidRPr="00CC5F67" w:rsidRDefault="00930D14" w:rsidP="00930D14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325" w:type="dxa"/>
          </w:tcPr>
          <w:p w14:paraId="6D875B25" w14:textId="1E8E8B06" w:rsidR="00930D14" w:rsidRPr="00F843FC" w:rsidRDefault="00930D14" w:rsidP="00930D14">
            <w:pPr>
              <w:rPr>
                <w:sz w:val="18"/>
                <w:szCs w:val="18"/>
                <w:highlight w:val="green"/>
              </w:rPr>
            </w:pPr>
            <w:r w:rsidRPr="002F307A">
              <w:rPr>
                <w:rFonts w:hint="eastAsia"/>
                <w:sz w:val="18"/>
                <w:szCs w:val="18"/>
              </w:rPr>
              <w:t>Q</w:t>
            </w:r>
            <w:r w:rsidRPr="002F307A">
              <w:rPr>
                <w:sz w:val="18"/>
                <w:szCs w:val="18"/>
              </w:rPr>
              <w:t>uantitative</w:t>
            </w:r>
          </w:p>
        </w:tc>
        <w:tc>
          <w:tcPr>
            <w:tcW w:w="4940" w:type="dxa"/>
          </w:tcPr>
          <w:p w14:paraId="7CC08091" w14:textId="3F65379A" w:rsidR="00930D14" w:rsidRPr="00CC5F67" w:rsidRDefault="00930D14" w:rsidP="00930D14">
            <w:pPr>
              <w:rPr>
                <w:sz w:val="18"/>
                <w:szCs w:val="18"/>
              </w:rPr>
            </w:pPr>
            <w:r w:rsidRPr="00930D14">
              <w:rPr>
                <w:rFonts w:hint="eastAsia"/>
                <w:sz w:val="18"/>
                <w:szCs w:val="18"/>
              </w:rPr>
              <w:t xml:space="preserve">Down-select combinations from the </w:t>
            </w:r>
            <w:r w:rsidR="00233D41">
              <w:rPr>
                <w:rFonts w:hint="eastAsia"/>
                <w:sz w:val="18"/>
                <w:szCs w:val="18"/>
              </w:rPr>
              <w:t>KPI</w:t>
            </w:r>
            <w:r w:rsidRPr="00930D14">
              <w:rPr>
                <w:rFonts w:hint="eastAsia"/>
                <w:sz w:val="18"/>
                <w:szCs w:val="18"/>
              </w:rPr>
              <w:t xml:space="preserve"> set {data rate, latency, reliability, number of satisfied UEs}</w:t>
            </w:r>
            <w:r w:rsidR="00D71C91"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="00233D41">
              <w:rPr>
                <w:rFonts w:hint="eastAsia"/>
                <w:sz w:val="18"/>
                <w:szCs w:val="18"/>
              </w:rPr>
              <w:t xml:space="preserve">and determine relation </w:t>
            </w:r>
            <w:r w:rsidR="00233D41">
              <w:rPr>
                <w:sz w:val="18"/>
                <w:szCs w:val="18"/>
              </w:rPr>
              <w:t>between</w:t>
            </w:r>
            <w:r w:rsidR="00233D41">
              <w:rPr>
                <w:rFonts w:hint="eastAsia"/>
                <w:sz w:val="18"/>
                <w:szCs w:val="18"/>
              </w:rPr>
              <w:t xml:space="preserve"> the relevant KPIs for the given combination, </w:t>
            </w:r>
            <w:r w:rsidRPr="00930D14">
              <w:rPr>
                <w:rFonts w:hint="eastAsia"/>
                <w:sz w:val="18"/>
                <w:szCs w:val="18"/>
              </w:rPr>
              <w:t>based on SA1 service requirements for immersive traffic.</w:t>
            </w:r>
          </w:p>
        </w:tc>
      </w:tr>
      <w:tr w:rsidR="00930D14" w:rsidRPr="00CC5F67" w14:paraId="538D4AD6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6F44B2FA" w14:textId="35192464" w:rsidR="00930D14" w:rsidRPr="00CC5F67" w:rsidRDefault="00930D14" w:rsidP="00930D14">
            <w:pPr>
              <w:rPr>
                <w:sz w:val="18"/>
                <w:szCs w:val="18"/>
              </w:rPr>
            </w:pPr>
            <w:r w:rsidRPr="00163957">
              <w:rPr>
                <w:rFonts w:asciiTheme="minorHAnsi" w:hAnsiTheme="minorHAnsi" w:cstheme="minorHAnsi"/>
              </w:rPr>
              <w:t>Positioning</w:t>
            </w:r>
          </w:p>
        </w:tc>
        <w:tc>
          <w:tcPr>
            <w:tcW w:w="2132" w:type="dxa"/>
            <w:vAlign w:val="center"/>
          </w:tcPr>
          <w:p w14:paraId="39930AB2" w14:textId="77777777" w:rsidR="00930D14" w:rsidRPr="00686927" w:rsidRDefault="00930D14" w:rsidP="00930D14">
            <w:pPr>
              <w:rPr>
                <w:sz w:val="18"/>
                <w:szCs w:val="18"/>
              </w:rPr>
            </w:pPr>
            <w:r w:rsidRPr="00686927"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325" w:type="dxa"/>
          </w:tcPr>
          <w:p w14:paraId="488FB7A5" w14:textId="6B1331BB" w:rsidR="00233D41" w:rsidRDefault="00233D41" w:rsidP="00930D14">
            <w:pPr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Vertical accuracy: &lt;3m</w:t>
            </w:r>
          </w:p>
          <w:p w14:paraId="7005FC9A" w14:textId="1FD7581C" w:rsidR="00233D41" w:rsidRPr="00686927" w:rsidRDefault="00233D41" w:rsidP="00930D14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Horizontal accuracy &lt;1m </w:t>
            </w:r>
          </w:p>
        </w:tc>
        <w:tc>
          <w:tcPr>
            <w:tcW w:w="4940" w:type="dxa"/>
          </w:tcPr>
          <w:p w14:paraId="7F3C9E2E" w14:textId="1DD64015" w:rsidR="00930D14" w:rsidRPr="00233D41" w:rsidRDefault="00233D41" w:rsidP="00930D14">
            <w:pPr>
              <w:rPr>
                <w:rFonts w:hint="eastAsia"/>
                <w:color w:val="FF0000"/>
                <w:sz w:val="18"/>
                <w:szCs w:val="18"/>
              </w:rPr>
            </w:pPr>
            <w:r w:rsidRPr="00233D41">
              <w:rPr>
                <w:rFonts w:hint="eastAsia"/>
                <w:sz w:val="18"/>
                <w:szCs w:val="18"/>
              </w:rPr>
              <w:t xml:space="preserve">The need of </w:t>
            </w:r>
            <w:r w:rsidR="00D71C91">
              <w:rPr>
                <w:sz w:val="18"/>
                <w:szCs w:val="18"/>
              </w:rPr>
              <w:t>strengthening</w:t>
            </w:r>
            <w:r w:rsidRPr="00233D41">
              <w:rPr>
                <w:rFonts w:hint="eastAsia"/>
                <w:sz w:val="18"/>
                <w:szCs w:val="18"/>
              </w:rPr>
              <w:t xml:space="preserve"> 3GPP 5G-A based </w:t>
            </w:r>
            <w:r w:rsidRPr="00233D41">
              <w:rPr>
                <w:sz w:val="18"/>
                <w:szCs w:val="18"/>
              </w:rPr>
              <w:t>positioning</w:t>
            </w:r>
            <w:r w:rsidRPr="00233D41">
              <w:rPr>
                <w:rFonts w:hint="eastAsia"/>
                <w:sz w:val="18"/>
                <w:szCs w:val="18"/>
              </w:rPr>
              <w:t xml:space="preserve"> requirements is unclear.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</w:tr>
      <w:tr w:rsidR="00930D14" w:rsidRPr="00CC5F67" w14:paraId="215FDF3D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6E7CE4F5" w14:textId="610A67F5" w:rsidR="00930D14" w:rsidRPr="00CC5F67" w:rsidRDefault="00930D14" w:rsidP="00930D14">
            <w:pPr>
              <w:rPr>
                <w:sz w:val="18"/>
                <w:szCs w:val="18"/>
              </w:rPr>
            </w:pPr>
            <w:r w:rsidRPr="00163957">
              <w:rPr>
                <w:rFonts w:asciiTheme="minorHAnsi" w:hAnsiTheme="minorHAnsi" w:cstheme="minorHAnsi"/>
                <w:lang w:eastAsia="zh-CN"/>
              </w:rPr>
              <w:t>Sensing-related capabilities</w:t>
            </w:r>
          </w:p>
        </w:tc>
        <w:tc>
          <w:tcPr>
            <w:tcW w:w="2132" w:type="dxa"/>
            <w:vAlign w:val="center"/>
          </w:tcPr>
          <w:p w14:paraId="48687673" w14:textId="77777777" w:rsidR="00930D14" w:rsidRPr="00CC5F67" w:rsidRDefault="00930D14" w:rsidP="00930D14">
            <w:pPr>
              <w:pStyle w:val="Defaul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4325" w:type="dxa"/>
          </w:tcPr>
          <w:p w14:paraId="08F654ED" w14:textId="77777777" w:rsidR="00930D14" w:rsidRDefault="00930D14" w:rsidP="00930D14">
            <w:pPr>
              <w:rPr>
                <w:sz w:val="18"/>
                <w:szCs w:val="18"/>
              </w:rPr>
            </w:pPr>
            <w:r w:rsidRPr="00E85AA6">
              <w:rPr>
                <w:sz w:val="18"/>
                <w:szCs w:val="18"/>
              </w:rPr>
              <w:t xml:space="preserve">Positioning accuracy horizontal/vertical [0.2-10]m, </w:t>
            </w:r>
          </w:p>
          <w:p w14:paraId="496E6694" w14:textId="77777777" w:rsidR="00930D14" w:rsidRDefault="00930D14" w:rsidP="00930D14">
            <w:pPr>
              <w:rPr>
                <w:sz w:val="18"/>
                <w:szCs w:val="18"/>
              </w:rPr>
            </w:pPr>
            <w:r w:rsidRPr="00E85AA6">
              <w:rPr>
                <w:sz w:val="18"/>
                <w:szCs w:val="18"/>
              </w:rPr>
              <w:t xml:space="preserve">Velocity accuracy horizontal/vertical [0.1-1.5]m/s, </w:t>
            </w:r>
          </w:p>
          <w:p w14:paraId="59A03FAA" w14:textId="77777777" w:rsidR="00930D14" w:rsidRDefault="00930D14" w:rsidP="00930D14">
            <w:pPr>
              <w:rPr>
                <w:sz w:val="18"/>
                <w:szCs w:val="18"/>
              </w:rPr>
            </w:pPr>
            <w:r w:rsidRPr="00E85AA6">
              <w:rPr>
                <w:sz w:val="18"/>
                <w:szCs w:val="18"/>
              </w:rPr>
              <w:t xml:space="preserve">Range resolution [0.375-10]m, </w:t>
            </w:r>
          </w:p>
          <w:p w14:paraId="32B27956" w14:textId="73B742CF" w:rsidR="00930D14" w:rsidRDefault="00930D14" w:rsidP="00930D14">
            <w:pPr>
              <w:rPr>
                <w:sz w:val="18"/>
                <w:szCs w:val="18"/>
              </w:rPr>
            </w:pPr>
            <w:r w:rsidRPr="00E85AA6">
              <w:rPr>
                <w:sz w:val="18"/>
                <w:szCs w:val="18"/>
              </w:rPr>
              <w:t xml:space="preserve">Velocity resolution [0.3-5]m, </w:t>
            </w:r>
          </w:p>
          <w:p w14:paraId="3BE7481D" w14:textId="77777777" w:rsidR="00930D14" w:rsidRDefault="00930D14" w:rsidP="00930D14">
            <w:pPr>
              <w:rPr>
                <w:sz w:val="18"/>
                <w:szCs w:val="18"/>
              </w:rPr>
            </w:pPr>
            <w:r w:rsidRPr="00E85AA6">
              <w:rPr>
                <w:sz w:val="18"/>
                <w:szCs w:val="18"/>
              </w:rPr>
              <w:t>Max sensing service latency [5-60000]</w:t>
            </w:r>
            <w:proofErr w:type="spellStart"/>
            <w:r w:rsidRPr="00E85AA6">
              <w:rPr>
                <w:sz w:val="18"/>
                <w:szCs w:val="18"/>
              </w:rPr>
              <w:t>ms</w:t>
            </w:r>
            <w:proofErr w:type="spellEnd"/>
            <w:r w:rsidRPr="00E85AA6">
              <w:rPr>
                <w:sz w:val="18"/>
                <w:szCs w:val="18"/>
              </w:rPr>
              <w:t xml:space="preserve">, </w:t>
            </w:r>
          </w:p>
          <w:p w14:paraId="4A9F5082" w14:textId="77777777" w:rsidR="00930D14" w:rsidRDefault="00930D14" w:rsidP="00930D14">
            <w:pPr>
              <w:rPr>
                <w:sz w:val="18"/>
                <w:szCs w:val="18"/>
              </w:rPr>
            </w:pPr>
            <w:r w:rsidRPr="00E85AA6">
              <w:rPr>
                <w:sz w:val="18"/>
                <w:szCs w:val="18"/>
              </w:rPr>
              <w:t>Refreshing rate [0.05-</w:t>
            </w:r>
            <w:proofErr w:type="gramStart"/>
            <w:r w:rsidRPr="00E85AA6">
              <w:rPr>
                <w:sz w:val="18"/>
                <w:szCs w:val="18"/>
              </w:rPr>
              <w:t>600]s</w:t>
            </w:r>
            <w:proofErr w:type="gramEnd"/>
            <w:r w:rsidRPr="00E85AA6">
              <w:rPr>
                <w:sz w:val="18"/>
                <w:szCs w:val="18"/>
              </w:rPr>
              <w:t xml:space="preserve">, </w:t>
            </w:r>
          </w:p>
          <w:p w14:paraId="36579E61" w14:textId="4A9829DB" w:rsidR="00930D14" w:rsidRPr="00E85AA6" w:rsidRDefault="00930D14" w:rsidP="00930D14">
            <w:pPr>
              <w:rPr>
                <w:sz w:val="18"/>
                <w:szCs w:val="18"/>
              </w:rPr>
            </w:pPr>
            <w:r w:rsidRPr="00E85AA6">
              <w:rPr>
                <w:sz w:val="18"/>
                <w:szCs w:val="18"/>
              </w:rPr>
              <w:t>Miss detection rate [0.1-</w:t>
            </w:r>
            <w:proofErr w:type="gramStart"/>
            <w:r w:rsidRPr="00E85AA6">
              <w:rPr>
                <w:sz w:val="18"/>
                <w:szCs w:val="18"/>
              </w:rPr>
              <w:t>5]%</w:t>
            </w:r>
            <w:proofErr w:type="gramEnd"/>
            <w:r w:rsidRPr="00E85AA6">
              <w:rPr>
                <w:sz w:val="18"/>
                <w:szCs w:val="18"/>
              </w:rPr>
              <w:t>, False alarm rate [2-</w:t>
            </w:r>
            <w:proofErr w:type="gramStart"/>
            <w:r w:rsidRPr="00E85AA6">
              <w:rPr>
                <w:sz w:val="18"/>
                <w:szCs w:val="18"/>
              </w:rPr>
              <w:t>5]%</w:t>
            </w:r>
            <w:proofErr w:type="gramEnd"/>
            <w:r w:rsidRPr="00E85AA6">
              <w:rPr>
                <w:sz w:val="18"/>
                <w:szCs w:val="18"/>
              </w:rPr>
              <w:t>, Confidence level [95-</w:t>
            </w:r>
            <w:proofErr w:type="gramStart"/>
            <w:r w:rsidRPr="00E85AA6">
              <w:rPr>
                <w:sz w:val="18"/>
                <w:szCs w:val="18"/>
              </w:rPr>
              <w:t>99]%</w:t>
            </w:r>
            <w:proofErr w:type="gramEnd"/>
          </w:p>
        </w:tc>
        <w:tc>
          <w:tcPr>
            <w:tcW w:w="4940" w:type="dxa"/>
          </w:tcPr>
          <w:p w14:paraId="50E91C36" w14:textId="77777777" w:rsidR="00930D14" w:rsidRPr="00930D14" w:rsidRDefault="00930D14" w:rsidP="00930D14">
            <w:pPr>
              <w:rPr>
                <w:sz w:val="18"/>
                <w:szCs w:val="18"/>
              </w:rPr>
            </w:pPr>
            <w:r w:rsidRPr="00930D14">
              <w:rPr>
                <w:rFonts w:hint="eastAsia"/>
                <w:sz w:val="18"/>
                <w:szCs w:val="18"/>
              </w:rPr>
              <w:t xml:space="preserve">Open to down-select target metrics </w:t>
            </w:r>
          </w:p>
          <w:p w14:paraId="25D6E997" w14:textId="688EFF68" w:rsidR="00930D14" w:rsidRPr="00930D14" w:rsidRDefault="00930D14" w:rsidP="00930D14">
            <w:pPr>
              <w:rPr>
                <w:sz w:val="18"/>
                <w:szCs w:val="18"/>
              </w:rPr>
            </w:pPr>
            <w:r w:rsidRPr="00930D14">
              <w:rPr>
                <w:rFonts w:hint="eastAsia"/>
                <w:sz w:val="18"/>
                <w:szCs w:val="18"/>
              </w:rPr>
              <w:t xml:space="preserve"> </w:t>
            </w:r>
          </w:p>
          <w:p w14:paraId="35BB095C" w14:textId="674A3B6E" w:rsidR="00930D14" w:rsidRPr="00E85AA6" w:rsidRDefault="00930D14" w:rsidP="00930D14">
            <w:pPr>
              <w:rPr>
                <w:sz w:val="18"/>
                <w:szCs w:val="18"/>
              </w:rPr>
            </w:pPr>
            <w:r w:rsidRPr="00930D14">
              <w:rPr>
                <w:sz w:val="18"/>
                <w:szCs w:val="18"/>
              </w:rPr>
              <w:t>Note: Different TPR values are used depending on the target service scenario, sensing</w:t>
            </w:r>
            <w:r w:rsidRPr="00E85AA6">
              <w:rPr>
                <w:sz w:val="18"/>
                <w:szCs w:val="18"/>
              </w:rPr>
              <w:t xml:space="preserve"> target and service area [Table 6.2-1 of 3GPP TS 22.137]</w:t>
            </w:r>
            <w:r>
              <w:rPr>
                <w:rFonts w:hint="eastAsia"/>
                <w:sz w:val="18"/>
                <w:szCs w:val="18"/>
              </w:rPr>
              <w:t>. The value ranges need to be updated based on channel model study progress</w:t>
            </w:r>
          </w:p>
          <w:p w14:paraId="70A2673F" w14:textId="30B8A325" w:rsidR="00930D14" w:rsidRPr="00930D14" w:rsidRDefault="00930D14" w:rsidP="00930D14">
            <w:pPr>
              <w:rPr>
                <w:sz w:val="18"/>
                <w:szCs w:val="18"/>
              </w:rPr>
            </w:pPr>
          </w:p>
        </w:tc>
      </w:tr>
      <w:tr w:rsidR="00930D14" w:rsidRPr="00CC5F67" w14:paraId="76C2FFE2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7603EAAB" w14:textId="407A77A9" w:rsidR="00930D14" w:rsidRPr="00CC5F67" w:rsidRDefault="00930D14" w:rsidP="00930D14">
            <w:pPr>
              <w:rPr>
                <w:sz w:val="18"/>
                <w:szCs w:val="18"/>
              </w:rPr>
            </w:pPr>
            <w:r w:rsidRPr="00163957">
              <w:rPr>
                <w:rFonts w:asciiTheme="minorHAnsi" w:hAnsiTheme="minorHAnsi" w:cstheme="minorHAnsi"/>
                <w:lang w:eastAsia="ja-JP"/>
              </w:rPr>
              <w:t>AI-related capabilities</w:t>
            </w:r>
          </w:p>
        </w:tc>
        <w:tc>
          <w:tcPr>
            <w:tcW w:w="2132" w:type="dxa"/>
            <w:vAlign w:val="center"/>
          </w:tcPr>
          <w:p w14:paraId="0F4E9537" w14:textId="77777777" w:rsidR="00930D14" w:rsidRPr="00CC5F67" w:rsidRDefault="00930D14" w:rsidP="00930D14">
            <w:pPr>
              <w:pStyle w:val="Defaul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4325" w:type="dxa"/>
          </w:tcPr>
          <w:p w14:paraId="406AFE58" w14:textId="39D84201" w:rsidR="00930D14" w:rsidRPr="00E85AA6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Qualitative</w:t>
            </w:r>
          </w:p>
        </w:tc>
        <w:tc>
          <w:tcPr>
            <w:tcW w:w="4940" w:type="dxa"/>
          </w:tcPr>
          <w:p w14:paraId="7EC56BBC" w14:textId="0C48F0D5" w:rsidR="00930D14" w:rsidRPr="00280FEB" w:rsidRDefault="00930D14" w:rsidP="00930D14">
            <w:pPr>
              <w:rPr>
                <w:sz w:val="18"/>
                <w:szCs w:val="18"/>
              </w:rPr>
            </w:pPr>
            <w:r w:rsidRPr="00280FEB">
              <w:rPr>
                <w:rFonts w:hint="eastAsia"/>
                <w:sz w:val="18"/>
                <w:szCs w:val="18"/>
              </w:rPr>
              <w:t xml:space="preserve">Need further discussion </w:t>
            </w:r>
          </w:p>
        </w:tc>
      </w:tr>
      <w:bookmarkEnd w:id="2"/>
      <w:tr w:rsidR="00930D14" w:rsidRPr="00CC5F67" w14:paraId="38C7A72D" w14:textId="77777777" w:rsidTr="00930D14">
        <w:trPr>
          <w:trHeight w:val="379"/>
        </w:trPr>
        <w:tc>
          <w:tcPr>
            <w:tcW w:w="2404" w:type="dxa"/>
            <w:gridSpan w:val="2"/>
            <w:vAlign w:val="center"/>
          </w:tcPr>
          <w:p w14:paraId="31DF7338" w14:textId="77777777" w:rsidR="00930D14" w:rsidRPr="00CC5F67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Energy efficiency</w:t>
            </w:r>
          </w:p>
        </w:tc>
        <w:tc>
          <w:tcPr>
            <w:tcW w:w="2132" w:type="dxa"/>
            <w:vAlign w:val="center"/>
          </w:tcPr>
          <w:p w14:paraId="6453F765" w14:textId="77777777" w:rsidR="00930D14" w:rsidRPr="00CC5F67" w:rsidRDefault="00930D14" w:rsidP="00930D14">
            <w:pPr>
              <w:pStyle w:val="Defaul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4325" w:type="dxa"/>
          </w:tcPr>
          <w:p w14:paraId="64536BCF" w14:textId="5DEB9DA9" w:rsidR="00930D14" w:rsidRPr="00E85AA6" w:rsidRDefault="00930D14" w:rsidP="00930D14">
            <w:pPr>
              <w:rPr>
                <w:sz w:val="18"/>
                <w:szCs w:val="18"/>
              </w:rPr>
            </w:pPr>
            <w:r w:rsidRPr="00407529">
              <w:rPr>
                <w:rFonts w:hint="eastAsia"/>
                <w:sz w:val="18"/>
                <w:szCs w:val="18"/>
              </w:rPr>
              <w:t>Quantitative</w:t>
            </w:r>
          </w:p>
        </w:tc>
        <w:tc>
          <w:tcPr>
            <w:tcW w:w="4940" w:type="dxa"/>
          </w:tcPr>
          <w:p w14:paraId="0AC16836" w14:textId="4DFC84DD" w:rsidR="001A083A" w:rsidRPr="00280FEB" w:rsidRDefault="00930D14" w:rsidP="00930D14">
            <w:pPr>
              <w:rPr>
                <w:rFonts w:hint="eastAsia"/>
                <w:sz w:val="18"/>
                <w:szCs w:val="18"/>
              </w:rPr>
            </w:pPr>
            <w:r w:rsidRPr="00280FEB">
              <w:rPr>
                <w:rFonts w:hint="eastAsia"/>
                <w:sz w:val="18"/>
                <w:szCs w:val="18"/>
              </w:rPr>
              <w:t>Need further discussion with evaluation</w:t>
            </w:r>
            <w:r w:rsidR="001A083A">
              <w:rPr>
                <w:rFonts w:hint="eastAsia"/>
                <w:sz w:val="18"/>
                <w:szCs w:val="18"/>
              </w:rPr>
              <w:t xml:space="preserve"> on both network energy efficiency and UE energy efficiency. </w:t>
            </w:r>
          </w:p>
        </w:tc>
      </w:tr>
      <w:tr w:rsidR="00930D14" w:rsidRPr="00CC5F67" w14:paraId="1C037C52" w14:textId="77777777" w:rsidTr="00930D14">
        <w:trPr>
          <w:trHeight w:val="947"/>
        </w:trPr>
        <w:tc>
          <w:tcPr>
            <w:tcW w:w="2404" w:type="dxa"/>
            <w:gridSpan w:val="2"/>
            <w:vAlign w:val="center"/>
          </w:tcPr>
          <w:p w14:paraId="7DE1F9F6" w14:textId="413D2221" w:rsidR="00930D14" w:rsidRPr="00163957" w:rsidRDefault="00930D14" w:rsidP="00930D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 w:hint="eastAsia"/>
              </w:rPr>
              <w:t xml:space="preserve">Security  </w:t>
            </w:r>
          </w:p>
        </w:tc>
        <w:tc>
          <w:tcPr>
            <w:tcW w:w="2132" w:type="dxa"/>
            <w:vAlign w:val="center"/>
          </w:tcPr>
          <w:p w14:paraId="613F466E" w14:textId="77777777" w:rsidR="00930D14" w:rsidRDefault="00930D14" w:rsidP="00930D14">
            <w:pPr>
              <w:pStyle w:val="Defaul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325" w:type="dxa"/>
          </w:tcPr>
          <w:p w14:paraId="1CE40918" w14:textId="77777777" w:rsidR="00930D14" w:rsidRPr="00407529" w:rsidRDefault="00930D14" w:rsidP="00930D14">
            <w:pPr>
              <w:rPr>
                <w:sz w:val="18"/>
                <w:szCs w:val="18"/>
              </w:rPr>
            </w:pPr>
            <w:r w:rsidRPr="00407529">
              <w:rPr>
                <w:rFonts w:hint="eastAsia"/>
                <w:sz w:val="18"/>
                <w:szCs w:val="18"/>
              </w:rPr>
              <w:t>Qualitative, if included.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4940" w:type="dxa"/>
          </w:tcPr>
          <w:p w14:paraId="733D917E" w14:textId="77777777" w:rsidR="00930D14" w:rsidRPr="00280FEB" w:rsidRDefault="00930D14" w:rsidP="00930D14">
            <w:pPr>
              <w:rPr>
                <w:sz w:val="18"/>
                <w:szCs w:val="18"/>
              </w:rPr>
            </w:pPr>
            <w:r w:rsidRPr="00280FEB">
              <w:rPr>
                <w:rFonts w:hint="eastAsia"/>
                <w:sz w:val="18"/>
                <w:szCs w:val="18"/>
              </w:rPr>
              <w:t xml:space="preserve">If </w:t>
            </w:r>
            <w:r w:rsidRPr="00280FEB">
              <w:rPr>
                <w:sz w:val="18"/>
                <w:szCs w:val="18"/>
              </w:rPr>
              <w:t>included</w:t>
            </w:r>
            <w:r w:rsidRPr="00280FEB">
              <w:rPr>
                <w:rFonts w:hint="eastAsia"/>
                <w:sz w:val="18"/>
                <w:szCs w:val="18"/>
              </w:rPr>
              <w:t>, s</w:t>
            </w:r>
            <w:r w:rsidRPr="00280FEB">
              <w:rPr>
                <w:sz w:val="18"/>
                <w:szCs w:val="18"/>
              </w:rPr>
              <w:t>ecurity protection of MAC CE needs to be considered</w:t>
            </w:r>
            <w:r w:rsidRPr="00280FEB">
              <w:rPr>
                <w:rFonts w:hint="eastAsia"/>
                <w:sz w:val="18"/>
                <w:szCs w:val="18"/>
              </w:rPr>
              <w:t xml:space="preserve"> and </w:t>
            </w:r>
            <w:r w:rsidRPr="00280FEB">
              <w:rPr>
                <w:sz w:val="18"/>
                <w:szCs w:val="18"/>
              </w:rPr>
              <w:t>Post-Quantum Cryptography to avoid HNDL attack needs to be considered.</w:t>
            </w:r>
          </w:p>
        </w:tc>
      </w:tr>
      <w:tr w:rsidR="00930D14" w:rsidRPr="00CC5F67" w14:paraId="602E7320" w14:textId="77777777" w:rsidTr="00930D14">
        <w:trPr>
          <w:trHeight w:val="947"/>
        </w:trPr>
        <w:tc>
          <w:tcPr>
            <w:tcW w:w="2404" w:type="dxa"/>
            <w:gridSpan w:val="2"/>
            <w:vAlign w:val="center"/>
          </w:tcPr>
          <w:p w14:paraId="5611A834" w14:textId="615327C6" w:rsidR="00930D14" w:rsidRPr="00163957" w:rsidRDefault="00930D14" w:rsidP="00930D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resilience</w:t>
            </w:r>
          </w:p>
        </w:tc>
        <w:tc>
          <w:tcPr>
            <w:tcW w:w="2132" w:type="dxa"/>
            <w:vAlign w:val="center"/>
          </w:tcPr>
          <w:p w14:paraId="7E6EB591" w14:textId="68148928" w:rsidR="00930D14" w:rsidRDefault="00930D14" w:rsidP="00930D14">
            <w:pPr>
              <w:pStyle w:val="Defaul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325" w:type="dxa"/>
          </w:tcPr>
          <w:p w14:paraId="6C96AB40" w14:textId="3917AD46" w:rsidR="00930D14" w:rsidRPr="00407529" w:rsidRDefault="00930D14" w:rsidP="00930D14">
            <w:pPr>
              <w:rPr>
                <w:sz w:val="18"/>
                <w:szCs w:val="18"/>
              </w:rPr>
            </w:pPr>
            <w:r w:rsidRPr="00407529"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940" w:type="dxa"/>
          </w:tcPr>
          <w:p w14:paraId="6B34B5C7" w14:textId="46D788E5" w:rsidR="00930D14" w:rsidRPr="00280FEB" w:rsidRDefault="00930D14" w:rsidP="00930D14">
            <w:pPr>
              <w:rPr>
                <w:sz w:val="18"/>
                <w:szCs w:val="18"/>
              </w:rPr>
            </w:pPr>
            <w:r w:rsidRPr="00280FEB">
              <w:rPr>
                <w:rFonts w:hint="eastAsia"/>
                <w:sz w:val="18"/>
                <w:szCs w:val="18"/>
              </w:rPr>
              <w:t xml:space="preserve">Can be considered under </w:t>
            </w:r>
            <w:r w:rsidRPr="00280FEB">
              <w:rPr>
                <w:sz w:val="18"/>
                <w:szCs w:val="18"/>
              </w:rPr>
              <w:t>submission template</w:t>
            </w:r>
          </w:p>
        </w:tc>
      </w:tr>
      <w:tr w:rsidR="00930D14" w:rsidRPr="00CC5F67" w14:paraId="7B4EF497" w14:textId="77777777" w:rsidTr="00930D14">
        <w:trPr>
          <w:trHeight w:val="379"/>
        </w:trPr>
        <w:tc>
          <w:tcPr>
            <w:tcW w:w="2404" w:type="dxa"/>
            <w:gridSpan w:val="2"/>
          </w:tcPr>
          <w:p w14:paraId="7D862EA6" w14:textId="77777777" w:rsidR="00930D14" w:rsidRPr="00CC5F67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Coverage</w:t>
            </w:r>
          </w:p>
        </w:tc>
        <w:tc>
          <w:tcPr>
            <w:tcW w:w="2132" w:type="dxa"/>
          </w:tcPr>
          <w:p w14:paraId="1FB8A220" w14:textId="2065FC25" w:rsidR="00930D14" w:rsidRPr="00CC5F67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325" w:type="dxa"/>
          </w:tcPr>
          <w:p w14:paraId="2B451F5A" w14:textId="77777777" w:rsidR="00930D14" w:rsidRPr="00E85AA6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940" w:type="dxa"/>
          </w:tcPr>
          <w:p w14:paraId="15D0836F" w14:textId="48A306E1" w:rsidR="00930D14" w:rsidRPr="00280FEB" w:rsidRDefault="00930D14" w:rsidP="00930D14">
            <w:pPr>
              <w:rPr>
                <w:sz w:val="18"/>
                <w:szCs w:val="18"/>
              </w:rPr>
            </w:pPr>
            <w:r w:rsidRPr="00280FEB">
              <w:rPr>
                <w:rFonts w:hint="eastAsia"/>
                <w:sz w:val="18"/>
                <w:szCs w:val="18"/>
              </w:rPr>
              <w:t>No need to define coverage as TPR</w:t>
            </w:r>
          </w:p>
        </w:tc>
      </w:tr>
      <w:tr w:rsidR="00930D14" w:rsidRPr="00CC5F67" w14:paraId="67D5C07F" w14:textId="77777777" w:rsidTr="00930D14">
        <w:trPr>
          <w:trHeight w:val="379"/>
        </w:trPr>
        <w:tc>
          <w:tcPr>
            <w:tcW w:w="2404" w:type="dxa"/>
            <w:gridSpan w:val="2"/>
          </w:tcPr>
          <w:p w14:paraId="62819015" w14:textId="432EEE57" w:rsidR="00930D14" w:rsidRDefault="00930D14" w:rsidP="00930D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Sustainability</w:t>
            </w:r>
          </w:p>
        </w:tc>
        <w:tc>
          <w:tcPr>
            <w:tcW w:w="2132" w:type="dxa"/>
          </w:tcPr>
          <w:p w14:paraId="1F816593" w14:textId="76DEBDBC" w:rsidR="00930D14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325" w:type="dxa"/>
          </w:tcPr>
          <w:p w14:paraId="66A1F4C2" w14:textId="40E631AF" w:rsidR="00930D14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940" w:type="dxa"/>
          </w:tcPr>
          <w:p w14:paraId="6E37A585" w14:textId="436C74DE" w:rsidR="00930D14" w:rsidRPr="006A0CF1" w:rsidRDefault="00930D14" w:rsidP="00930D14">
            <w:pPr>
              <w:rPr>
                <w:sz w:val="18"/>
                <w:szCs w:val="18"/>
              </w:rPr>
            </w:pPr>
            <w:r w:rsidRPr="006A0CF1">
              <w:rPr>
                <w:rFonts w:hint="eastAsia"/>
                <w:sz w:val="18"/>
                <w:szCs w:val="18"/>
              </w:rPr>
              <w:t>This can be covered by energy efficiency</w:t>
            </w:r>
          </w:p>
        </w:tc>
      </w:tr>
      <w:tr w:rsidR="00930D14" w:rsidRPr="00CC5F67" w14:paraId="04DE05F7" w14:textId="77777777" w:rsidTr="00930D14">
        <w:trPr>
          <w:trHeight w:val="379"/>
        </w:trPr>
        <w:tc>
          <w:tcPr>
            <w:tcW w:w="2404" w:type="dxa"/>
            <w:gridSpan w:val="2"/>
          </w:tcPr>
          <w:p w14:paraId="1D27A31E" w14:textId="39BA87EB" w:rsidR="00930D14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Interoperability </w:t>
            </w:r>
          </w:p>
        </w:tc>
        <w:tc>
          <w:tcPr>
            <w:tcW w:w="2132" w:type="dxa"/>
          </w:tcPr>
          <w:p w14:paraId="14A96482" w14:textId="0386DE8D" w:rsidR="00930D14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325" w:type="dxa"/>
          </w:tcPr>
          <w:p w14:paraId="1B8EED4C" w14:textId="3AA298D6" w:rsidR="00930D14" w:rsidRDefault="00930D14" w:rsidP="00930D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NA</w:t>
            </w:r>
          </w:p>
        </w:tc>
        <w:tc>
          <w:tcPr>
            <w:tcW w:w="4940" w:type="dxa"/>
          </w:tcPr>
          <w:p w14:paraId="55324716" w14:textId="4210D477" w:rsidR="00930D14" w:rsidRPr="006A0CF1" w:rsidRDefault="00930D14" w:rsidP="00930D14">
            <w:pPr>
              <w:rPr>
                <w:sz w:val="18"/>
                <w:szCs w:val="18"/>
              </w:rPr>
            </w:pPr>
            <w:r w:rsidRPr="006A0CF1">
              <w:rPr>
                <w:rFonts w:hint="eastAsia"/>
                <w:sz w:val="18"/>
                <w:szCs w:val="18"/>
              </w:rPr>
              <w:t xml:space="preserve">Can be considered under </w:t>
            </w:r>
            <w:r w:rsidRPr="006A0CF1">
              <w:rPr>
                <w:sz w:val="18"/>
                <w:szCs w:val="18"/>
              </w:rPr>
              <w:t>submission template</w:t>
            </w:r>
          </w:p>
        </w:tc>
      </w:tr>
    </w:tbl>
    <w:p w14:paraId="74CFBE42" w14:textId="52351FE1" w:rsidR="00CC5F67" w:rsidRPr="008B71F8" w:rsidRDefault="008B71F8" w:rsidP="008B71F8">
      <w:pPr>
        <w:pStyle w:val="1"/>
        <w:keepLines/>
        <w:pBdr>
          <w:top w:val="single" w:sz="12" w:space="3" w:color="auto"/>
        </w:pBdr>
        <w:wordWrap/>
        <w:autoSpaceDE/>
        <w:autoSpaceDN/>
        <w:spacing w:before="240" w:after="180" w:line="259" w:lineRule="auto"/>
        <w:ind w:left="1134" w:hanging="1134"/>
        <w:rPr>
          <w:rFonts w:ascii="Arial" w:eastAsia="바탕" w:hAnsi="Arial" w:cs="Times New Roman"/>
          <w:color w:val="000000" w:themeColor="text1"/>
          <w:sz w:val="36"/>
          <w:szCs w:val="20"/>
          <w:lang w:val="en-GB" w:eastAsia="en-US"/>
        </w:rPr>
      </w:pPr>
      <w:r w:rsidRPr="008B71F8">
        <w:rPr>
          <w:rFonts w:ascii="Arial" w:eastAsia="바탕" w:hAnsi="Arial" w:cs="Times New Roman" w:hint="eastAsia"/>
          <w:color w:val="000000" w:themeColor="text1"/>
          <w:sz w:val="36"/>
          <w:szCs w:val="20"/>
          <w:lang w:val="en-GB" w:eastAsia="en-US"/>
        </w:rPr>
        <w:t>Reference</w:t>
      </w:r>
    </w:p>
    <w:p w14:paraId="49E11B4A" w14:textId="6534D57D" w:rsidR="008B71F8" w:rsidRPr="00CC5F67" w:rsidRDefault="008B71F8" w:rsidP="00215ECB">
      <w:r>
        <w:rPr>
          <w:rFonts w:hint="eastAsia"/>
        </w:rPr>
        <w:t xml:space="preserve">[1] RP-250819 </w:t>
      </w:r>
      <w:r w:rsidRPr="008B71F8">
        <w:t>Moderator's summary for IMT-2030 TPRs</w:t>
      </w:r>
      <w:r>
        <w:rPr>
          <w:rFonts w:hint="eastAsia"/>
        </w:rPr>
        <w:t xml:space="preserve">, </w:t>
      </w:r>
      <w:r w:rsidRPr="008B71F8">
        <w:t>Moderator (CMCC)</w:t>
      </w:r>
    </w:p>
    <w:sectPr w:rsidR="008B71F8" w:rsidRPr="00CC5F67" w:rsidSect="00CC5F67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4EF6" w14:textId="77777777" w:rsidR="00602AD5" w:rsidRDefault="00602AD5" w:rsidP="00215ECB">
      <w:r>
        <w:separator/>
      </w:r>
    </w:p>
  </w:endnote>
  <w:endnote w:type="continuationSeparator" w:id="0">
    <w:p w14:paraId="37D96711" w14:textId="77777777" w:rsidR="00602AD5" w:rsidRDefault="00602AD5" w:rsidP="0021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AF07" w14:textId="77777777" w:rsidR="00602AD5" w:rsidRDefault="00602AD5" w:rsidP="00215ECB">
      <w:r>
        <w:separator/>
      </w:r>
    </w:p>
  </w:footnote>
  <w:footnote w:type="continuationSeparator" w:id="0">
    <w:p w14:paraId="0F0B9DA6" w14:textId="77777777" w:rsidR="00602AD5" w:rsidRDefault="00602AD5" w:rsidP="00215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65E79"/>
    <w:multiLevelType w:val="hybridMultilevel"/>
    <w:tmpl w:val="12AEE6EA"/>
    <w:lvl w:ilvl="0" w:tplc="59D0D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88B336">
      <w:start w:val="6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56C546">
      <w:start w:val="64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ECAA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5B846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BCEB8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70418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3AC29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F47D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437E7803"/>
    <w:multiLevelType w:val="hybridMultilevel"/>
    <w:tmpl w:val="AA3C3C70"/>
    <w:lvl w:ilvl="0" w:tplc="73A027A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6CF7DE7"/>
    <w:multiLevelType w:val="hybridMultilevel"/>
    <w:tmpl w:val="9BEA0106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702166E"/>
    <w:multiLevelType w:val="hybridMultilevel"/>
    <w:tmpl w:val="EE9EB5D8"/>
    <w:lvl w:ilvl="0" w:tplc="32380C3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95B21D7"/>
    <w:multiLevelType w:val="hybridMultilevel"/>
    <w:tmpl w:val="D19A979C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66245483">
    <w:abstractNumId w:val="0"/>
  </w:num>
  <w:num w:numId="2" w16cid:durableId="1928801493">
    <w:abstractNumId w:val="1"/>
  </w:num>
  <w:num w:numId="3" w16cid:durableId="2051567427">
    <w:abstractNumId w:val="3"/>
  </w:num>
  <w:num w:numId="4" w16cid:durableId="1110859621">
    <w:abstractNumId w:val="4"/>
  </w:num>
  <w:num w:numId="5" w16cid:durableId="1269462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492"/>
    <w:rsid w:val="00024500"/>
    <w:rsid w:val="00047AA3"/>
    <w:rsid w:val="000D26DE"/>
    <w:rsid w:val="00102029"/>
    <w:rsid w:val="00107619"/>
    <w:rsid w:val="001575B1"/>
    <w:rsid w:val="001A083A"/>
    <w:rsid w:val="001D3B8F"/>
    <w:rsid w:val="002052D7"/>
    <w:rsid w:val="00215ECB"/>
    <w:rsid w:val="00233D41"/>
    <w:rsid w:val="002610FB"/>
    <w:rsid w:val="00280FEB"/>
    <w:rsid w:val="00295F0D"/>
    <w:rsid w:val="002C202D"/>
    <w:rsid w:val="002D07C7"/>
    <w:rsid w:val="002D1231"/>
    <w:rsid w:val="002F307A"/>
    <w:rsid w:val="0030291B"/>
    <w:rsid w:val="003042F7"/>
    <w:rsid w:val="00315931"/>
    <w:rsid w:val="00323194"/>
    <w:rsid w:val="0039710F"/>
    <w:rsid w:val="003A337C"/>
    <w:rsid w:val="003E531F"/>
    <w:rsid w:val="00400E8F"/>
    <w:rsid w:val="00407529"/>
    <w:rsid w:val="00427532"/>
    <w:rsid w:val="004475B7"/>
    <w:rsid w:val="00495C7A"/>
    <w:rsid w:val="00571ABA"/>
    <w:rsid w:val="005773B6"/>
    <w:rsid w:val="005961C3"/>
    <w:rsid w:val="005A0EBA"/>
    <w:rsid w:val="00602AD5"/>
    <w:rsid w:val="00605282"/>
    <w:rsid w:val="00621DB4"/>
    <w:rsid w:val="00624857"/>
    <w:rsid w:val="006277C5"/>
    <w:rsid w:val="00641844"/>
    <w:rsid w:val="00647A60"/>
    <w:rsid w:val="00686927"/>
    <w:rsid w:val="006A0CF1"/>
    <w:rsid w:val="006A3924"/>
    <w:rsid w:val="006B53D0"/>
    <w:rsid w:val="006C593A"/>
    <w:rsid w:val="00747976"/>
    <w:rsid w:val="00793492"/>
    <w:rsid w:val="007C586E"/>
    <w:rsid w:val="007D6B2F"/>
    <w:rsid w:val="00807D26"/>
    <w:rsid w:val="00835213"/>
    <w:rsid w:val="008546DC"/>
    <w:rsid w:val="00875729"/>
    <w:rsid w:val="0089436E"/>
    <w:rsid w:val="008B71F8"/>
    <w:rsid w:val="008E6108"/>
    <w:rsid w:val="00930D14"/>
    <w:rsid w:val="009C09F1"/>
    <w:rsid w:val="009D7F3B"/>
    <w:rsid w:val="009E3A19"/>
    <w:rsid w:val="00A50CFE"/>
    <w:rsid w:val="00A64083"/>
    <w:rsid w:val="00A84EA0"/>
    <w:rsid w:val="00B10A61"/>
    <w:rsid w:val="00B45B76"/>
    <w:rsid w:val="00B51D06"/>
    <w:rsid w:val="00B805F6"/>
    <w:rsid w:val="00B873C7"/>
    <w:rsid w:val="00BC022F"/>
    <w:rsid w:val="00BE341E"/>
    <w:rsid w:val="00C272D2"/>
    <w:rsid w:val="00C42F63"/>
    <w:rsid w:val="00C96034"/>
    <w:rsid w:val="00CA7796"/>
    <w:rsid w:val="00CC5F67"/>
    <w:rsid w:val="00D2142E"/>
    <w:rsid w:val="00D71C91"/>
    <w:rsid w:val="00DC0C05"/>
    <w:rsid w:val="00E31A86"/>
    <w:rsid w:val="00E85AA6"/>
    <w:rsid w:val="00EE54DE"/>
    <w:rsid w:val="00F05124"/>
    <w:rsid w:val="00F24FFB"/>
    <w:rsid w:val="00F843FC"/>
    <w:rsid w:val="00FF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0A18C"/>
  <w15:chartTrackingRefBased/>
  <w15:docId w15:val="{DB6C2612-47C7-4FF3-A2FE-8C337C47E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3FC"/>
    <w:pPr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굴림"/>
      <w:kern w:val="0"/>
      <w:szCs w:val="20"/>
    </w:rPr>
  </w:style>
  <w:style w:type="paragraph" w:styleId="1">
    <w:name w:val="heading 1"/>
    <w:basedOn w:val="a"/>
    <w:next w:val="a"/>
    <w:link w:val="1Char"/>
    <w:qFormat/>
    <w:rsid w:val="00CC5F67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FF2DFF"/>
    <w:pPr>
      <w:ind w:leftChars="400" w:left="800"/>
    </w:pPr>
  </w:style>
  <w:style w:type="table" w:styleId="a4">
    <w:name w:val="Table Grid"/>
    <w:aliases w:val="TableGrid"/>
    <w:basedOn w:val="a1"/>
    <w:qFormat/>
    <w:rsid w:val="00641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6A392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6A392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6">
    <w:name w:val="Revision"/>
    <w:hidden/>
    <w:uiPriority w:val="99"/>
    <w:semiHidden/>
    <w:rsid w:val="00215ECB"/>
    <w:pPr>
      <w:spacing w:after="0" w:line="240" w:lineRule="auto"/>
      <w:jc w:val="left"/>
    </w:pPr>
    <w:rPr>
      <w:rFonts w:ascii="맑은 고딕" w:eastAsia="맑은 고딕" w:hAnsi="맑은 고딕" w:cs="굴림"/>
      <w:kern w:val="0"/>
      <w:szCs w:val="20"/>
    </w:rPr>
  </w:style>
  <w:style w:type="paragraph" w:styleId="a7">
    <w:name w:val="header"/>
    <w:basedOn w:val="a"/>
    <w:link w:val="Char1"/>
    <w:uiPriority w:val="99"/>
    <w:unhideWhenUsed/>
    <w:rsid w:val="00215EC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215ECB"/>
    <w:rPr>
      <w:rFonts w:ascii="맑은 고딕" w:eastAsia="맑은 고딕" w:hAnsi="맑은 고딕" w:cs="굴림"/>
      <w:kern w:val="0"/>
      <w:szCs w:val="20"/>
    </w:rPr>
  </w:style>
  <w:style w:type="paragraph" w:styleId="a8">
    <w:name w:val="footer"/>
    <w:basedOn w:val="a"/>
    <w:link w:val="Char2"/>
    <w:uiPriority w:val="99"/>
    <w:unhideWhenUsed/>
    <w:rsid w:val="00215EC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215ECB"/>
    <w:rPr>
      <w:rFonts w:ascii="맑은 고딕" w:eastAsia="맑은 고딕" w:hAnsi="맑은 고딕" w:cs="굴림"/>
      <w:kern w:val="0"/>
      <w:szCs w:val="20"/>
    </w:rPr>
  </w:style>
  <w:style w:type="paragraph" w:customStyle="1" w:styleId="enumlev1">
    <w:name w:val="enumlev1"/>
    <w:basedOn w:val="a"/>
    <w:link w:val="enumlev1Char"/>
    <w:qFormat/>
    <w:rsid w:val="00215ECB"/>
    <w:pPr>
      <w:tabs>
        <w:tab w:val="left" w:pos="1134"/>
        <w:tab w:val="left" w:pos="1871"/>
        <w:tab w:val="left" w:pos="2608"/>
        <w:tab w:val="left" w:pos="3345"/>
      </w:tabs>
      <w:wordWrap/>
      <w:overflowPunct w:val="0"/>
      <w:adjustRightInd w:val="0"/>
      <w:spacing w:before="80"/>
      <w:ind w:left="1134" w:hanging="1134"/>
      <w:jc w:val="left"/>
      <w:textAlignment w:val="baseline"/>
    </w:pPr>
    <w:rPr>
      <w:rFonts w:ascii="Times New Roman" w:eastAsia="Times New Roman" w:hAnsi="Times New Roman" w:cs="Times New Roman"/>
      <w:sz w:val="24"/>
      <w:lang w:val="en-GB" w:eastAsia="en-US"/>
    </w:rPr>
  </w:style>
  <w:style w:type="character" w:customStyle="1" w:styleId="enumlev1Char">
    <w:name w:val="enumlev1 Char"/>
    <w:link w:val="enumlev1"/>
    <w:qFormat/>
    <w:locked/>
    <w:rsid w:val="00215ECB"/>
    <w:rPr>
      <w:rFonts w:ascii="Times New Roman" w:eastAsia="Times New Roman" w:hAnsi="Times New Roman" w:cs="Times New Roman"/>
      <w:kern w:val="0"/>
      <w:sz w:val="24"/>
      <w:szCs w:val="20"/>
      <w:lang w:val="en-GB" w:eastAsia="en-US"/>
    </w:rPr>
  </w:style>
  <w:style w:type="paragraph" w:styleId="a9">
    <w:name w:val="Body Text"/>
    <w:basedOn w:val="a"/>
    <w:link w:val="Char3"/>
    <w:rsid w:val="00215ECB"/>
    <w:pPr>
      <w:wordWrap/>
      <w:autoSpaceDE/>
      <w:autoSpaceDN/>
      <w:spacing w:after="120"/>
      <w:jc w:val="left"/>
    </w:pPr>
    <w:rPr>
      <w:rFonts w:ascii="Times New Roman" w:eastAsiaTheme="minorEastAsia" w:hAnsi="Times New Roman" w:cs="Times New Roman"/>
      <w:lang w:val="en-GB" w:eastAsia="en-US"/>
    </w:rPr>
  </w:style>
  <w:style w:type="character" w:customStyle="1" w:styleId="Char3">
    <w:name w:val="본문 Char"/>
    <w:basedOn w:val="a0"/>
    <w:link w:val="a9"/>
    <w:rsid w:val="00215ECB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Char">
    <w:name w:val="목록 단락 Char"/>
    <w:link w:val="a3"/>
    <w:uiPriority w:val="34"/>
    <w:qFormat/>
    <w:locked/>
    <w:rsid w:val="00215ECB"/>
    <w:rPr>
      <w:rFonts w:ascii="맑은 고딕" w:eastAsia="맑은 고딕" w:hAnsi="맑은 고딕" w:cs="굴림"/>
      <w:kern w:val="0"/>
      <w:szCs w:val="20"/>
    </w:rPr>
  </w:style>
  <w:style w:type="paragraph" w:customStyle="1" w:styleId="Default">
    <w:name w:val="Default"/>
    <w:qFormat/>
    <w:rsid w:val="00CC5F67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SimSun" w:hAnsi="Times New Roman" w:cs="Times New Roman"/>
      <w:color w:val="000000"/>
      <w:kern w:val="0"/>
      <w:sz w:val="24"/>
      <w:szCs w:val="24"/>
      <w:lang w:eastAsia="zh-CN"/>
    </w:rPr>
  </w:style>
  <w:style w:type="character" w:customStyle="1" w:styleId="1Char">
    <w:name w:val="제목 1 Char"/>
    <w:basedOn w:val="a0"/>
    <w:link w:val="1"/>
    <w:qFormat/>
    <w:rsid w:val="00CC5F67"/>
    <w:rPr>
      <w:rFonts w:asciiTheme="majorHAnsi" w:eastAsiaTheme="majorEastAsia" w:hAnsiTheme="majorHAnsi" w:cstheme="majorBidi"/>
      <w:kern w:val="0"/>
      <w:sz w:val="28"/>
      <w:szCs w:val="28"/>
    </w:rPr>
  </w:style>
  <w:style w:type="paragraph" w:customStyle="1" w:styleId="CRCoverPage">
    <w:name w:val="CR Cover Page"/>
    <w:link w:val="CRCoverPageZchn"/>
    <w:rsid w:val="00BC022F"/>
    <w:pPr>
      <w:spacing w:after="120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BC022F"/>
    <w:rPr>
      <w:rFonts w:ascii="Arial" w:eastAsia="MS Mincho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50989-46D9-49F6-9263-6E7FCDEA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LGE - SungHoon</dc:creator>
  <cp:keywords/>
  <dc:description/>
  <cp:lastModifiedBy>LGE - SungHoon</cp:lastModifiedBy>
  <cp:revision>5</cp:revision>
  <dcterms:created xsi:type="dcterms:W3CDTF">2025-04-24T03:35:00Z</dcterms:created>
  <dcterms:modified xsi:type="dcterms:W3CDTF">2025-04-24T08:32:00Z</dcterms:modified>
</cp:coreProperties>
</file>